
<file path=[Content_Types].xml><?xml version="1.0" encoding="utf-8"?>
<Types xmlns="http://schemas.openxmlformats.org/package/2006/content-types">
  <Default Extension="xml" ContentType="application/xml"/>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4"/>
        <w:tabs>
          <w:tab w:val="right" w:pos="9360"/>
        </w:tabs>
        <w:spacing w:after="60" w:line="240" w:lineRule="auto"/>
        <w:jc w:val="both"/>
        <w:rPr>
          <w:rFonts w:hint="default" w:eastAsia="宋体" w:cs="Arial"/>
          <w:b/>
          <w:color w:val="FFFFFF"/>
          <w:sz w:val="22"/>
          <w:szCs w:val="22"/>
          <w:lang w:val="en-US" w:eastAsia="zh-CN"/>
        </w:rPr>
      </w:pPr>
      <w:bookmarkStart w:id="0" w:name="_Toc46307403"/>
      <w:r>
        <w:rPr>
          <w:rFonts w:cs="Arial"/>
          <w:b/>
          <w:sz w:val="22"/>
          <w:szCs w:val="22"/>
          <w:lang w:val="sv-SE" w:eastAsia="zh-CN"/>
        </w:rPr>
        <w:t>3GPP TSG</w:t>
      </w:r>
      <w:r>
        <w:rPr>
          <w:rFonts w:eastAsia="宋体" w:cs="Arial"/>
          <w:b/>
          <w:sz w:val="22"/>
          <w:szCs w:val="22"/>
          <w:lang w:val="sv-SE" w:eastAsia="zh-CN"/>
        </w:rPr>
        <w:t xml:space="preserve"> </w:t>
      </w:r>
      <w:r>
        <w:rPr>
          <w:rFonts w:cs="Arial"/>
          <w:b/>
          <w:sz w:val="22"/>
          <w:szCs w:val="22"/>
          <w:lang w:val="sv-SE" w:eastAsia="zh-CN"/>
        </w:rPr>
        <w:t>RAN</w:t>
      </w:r>
      <w:r>
        <w:rPr>
          <w:rFonts w:eastAsia="宋体" w:cs="Arial"/>
          <w:b/>
          <w:sz w:val="22"/>
          <w:szCs w:val="22"/>
          <w:lang w:val="sv-SE" w:eastAsia="zh-CN"/>
        </w:rPr>
        <w:t xml:space="preserve"> WG</w:t>
      </w:r>
      <w:r>
        <w:rPr>
          <w:rFonts w:cs="Arial"/>
          <w:b/>
          <w:sz w:val="22"/>
          <w:szCs w:val="22"/>
          <w:lang w:val="sv-SE" w:eastAsia="zh-CN"/>
        </w:rPr>
        <w:t>1</w:t>
      </w:r>
      <w:r>
        <w:rPr>
          <w:rFonts w:eastAsia="宋体" w:cs="Arial"/>
          <w:b/>
          <w:sz w:val="22"/>
          <w:szCs w:val="22"/>
          <w:lang w:val="sv-SE" w:eastAsia="zh-CN"/>
        </w:rPr>
        <w:t xml:space="preserve"> </w:t>
      </w:r>
      <w:r>
        <w:rPr>
          <w:rFonts w:eastAsia="宋体" w:cs="Arial"/>
          <w:b/>
          <w:sz w:val="22"/>
          <w:szCs w:val="22"/>
          <w:lang w:val="en-US" w:eastAsia="zh-CN"/>
        </w:rPr>
        <w:t>#</w:t>
      </w:r>
      <w:r>
        <w:rPr>
          <w:rFonts w:hint="eastAsia" w:eastAsia="宋体" w:cs="Arial"/>
          <w:b/>
          <w:sz w:val="22"/>
          <w:szCs w:val="22"/>
          <w:lang w:val="en-US" w:eastAsia="zh-CN"/>
        </w:rPr>
        <w:t>106-e</w:t>
      </w:r>
      <w:r>
        <w:rPr>
          <w:rFonts w:eastAsia="宋体" w:cs="Arial"/>
          <w:b/>
          <w:sz w:val="22"/>
          <w:szCs w:val="22"/>
          <w:lang w:val="en-US" w:eastAsia="zh-CN"/>
        </w:rPr>
        <w:tab/>
      </w:r>
      <w:r>
        <w:rPr>
          <w:rFonts w:eastAsia="宋体" w:cs="Arial"/>
          <w:b/>
          <w:sz w:val="22"/>
          <w:szCs w:val="22"/>
          <w:lang w:val="sv-SE" w:eastAsia="zh-CN"/>
        </w:rPr>
        <w:t>R1-</w:t>
      </w:r>
      <w:r>
        <w:rPr>
          <w:rFonts w:hint="eastAsia" w:eastAsia="宋体" w:cs="Arial"/>
          <w:b/>
          <w:sz w:val="22"/>
          <w:szCs w:val="22"/>
          <w:lang w:val="en-US" w:eastAsia="zh-CN"/>
        </w:rPr>
        <w:t>2107006</w:t>
      </w:r>
    </w:p>
    <w:p>
      <w:pPr>
        <w:tabs>
          <w:tab w:val="center" w:pos="4536"/>
          <w:tab w:val="right" w:pos="8280"/>
          <w:tab w:val="right" w:pos="9639"/>
        </w:tabs>
        <w:snapToGrid w:val="0"/>
        <w:spacing w:after="0" w:line="240" w:lineRule="auto"/>
        <w:ind w:left="440" w:right="2" w:hanging="440" w:hangingChars="200"/>
        <w:jc w:val="both"/>
        <w:rPr>
          <w:rFonts w:ascii="Arial" w:hAnsi="Arial" w:eastAsia="Batang" w:cs="Arial"/>
          <w:b/>
          <w:sz w:val="22"/>
          <w:szCs w:val="22"/>
          <w:lang w:val="sv-SE" w:eastAsia="zh-CN"/>
        </w:rPr>
      </w:pPr>
      <w:r>
        <w:rPr>
          <w:rFonts w:ascii="Arial" w:hAnsi="Arial" w:eastAsia="Batang" w:cs="Arial"/>
          <w:b/>
          <w:sz w:val="22"/>
          <w:szCs w:val="22"/>
          <w:lang w:val="sv-SE" w:eastAsia="ja-JP"/>
        </w:rPr>
        <w:t xml:space="preserve">e-Meeting, </w:t>
      </w:r>
      <w:r>
        <w:rPr>
          <w:rFonts w:hint="eastAsia" w:ascii="Arial" w:hAnsi="Arial" w:eastAsia="宋体" w:cs="Arial"/>
          <w:b/>
          <w:sz w:val="22"/>
          <w:szCs w:val="22"/>
          <w:lang w:val="en-US" w:eastAsia="zh-CN"/>
        </w:rPr>
        <w:t>August 16</w:t>
      </w:r>
      <w:r>
        <w:rPr>
          <w:rFonts w:hint="eastAsia" w:ascii="Arial" w:hAnsi="Arial" w:eastAsia="宋体" w:cs="Arial"/>
          <w:b/>
          <w:sz w:val="22"/>
          <w:szCs w:val="22"/>
          <w:vertAlign w:val="superscript"/>
          <w:lang w:val="en-US" w:eastAsia="zh-CN"/>
        </w:rPr>
        <w:t>th</w:t>
      </w:r>
      <w:r>
        <w:rPr>
          <w:rFonts w:hint="eastAsia" w:ascii="Arial" w:hAnsi="Arial" w:eastAsia="宋体" w:cs="Arial"/>
          <w:b/>
          <w:sz w:val="22"/>
          <w:szCs w:val="22"/>
          <w:lang w:val="en-US" w:eastAsia="zh-CN"/>
        </w:rPr>
        <w:t xml:space="preserve"> -27</w:t>
      </w:r>
      <w:r>
        <w:rPr>
          <w:rFonts w:hint="eastAsia" w:ascii="Arial" w:hAnsi="Arial" w:eastAsia="宋体" w:cs="Arial"/>
          <w:b/>
          <w:sz w:val="22"/>
          <w:szCs w:val="22"/>
          <w:vertAlign w:val="superscript"/>
          <w:lang w:val="en-US" w:eastAsia="zh-CN"/>
        </w:rPr>
        <w:t>th</w:t>
      </w:r>
      <w:r>
        <w:rPr>
          <w:rFonts w:hint="eastAsia" w:ascii="Arial" w:hAnsi="Arial" w:eastAsia="宋体" w:cs="Arial"/>
          <w:b/>
          <w:sz w:val="22"/>
          <w:szCs w:val="22"/>
          <w:lang w:val="en-US" w:eastAsia="zh-CN"/>
        </w:rPr>
        <w:t xml:space="preserve">  2021</w:t>
      </w:r>
    </w:p>
    <w:p>
      <w:pPr>
        <w:pStyle w:val="124"/>
        <w:tabs>
          <w:tab w:val="right" w:pos="9639"/>
        </w:tabs>
        <w:spacing w:after="60" w:line="240" w:lineRule="auto"/>
        <w:jc w:val="both"/>
        <w:rPr>
          <w:rFonts w:eastAsia="宋体" w:cs="Arial"/>
          <w:b/>
          <w:sz w:val="22"/>
          <w:szCs w:val="22"/>
          <w:lang w:val="sv-SE" w:eastAsia="zh-CN"/>
        </w:rPr>
      </w:pPr>
    </w:p>
    <w:p>
      <w:pPr>
        <w:pStyle w:val="41"/>
        <w:spacing w:after="60" w:line="240" w:lineRule="auto"/>
        <w:ind w:left="1797" w:hanging="1797"/>
        <w:jc w:val="both"/>
        <w:rPr>
          <w:rFonts w:cs="Arial"/>
          <w:sz w:val="22"/>
          <w:szCs w:val="22"/>
          <w:lang w:val="en-US" w:eastAsia="zh-CN"/>
        </w:rPr>
      </w:pPr>
      <w:r>
        <w:rPr>
          <w:rFonts w:cs="Arial"/>
          <w:sz w:val="22"/>
          <w:szCs w:val="22"/>
          <w:lang w:eastAsia="zh-CN"/>
        </w:rPr>
        <w:t>Title:</w:t>
      </w:r>
      <w:r>
        <w:rPr>
          <w:rFonts w:cs="Arial"/>
          <w:sz w:val="22"/>
          <w:szCs w:val="22"/>
          <w:lang w:val="en-US" w:eastAsia="zh-CN"/>
        </w:rPr>
        <w:tab/>
      </w:r>
      <w:r>
        <w:rPr>
          <w:rFonts w:hint="eastAsia" w:cs="Arial"/>
          <w:sz w:val="22"/>
          <w:szCs w:val="22"/>
          <w:lang w:val="en-US" w:eastAsia="zh-CN"/>
        </w:rPr>
        <w:t xml:space="preserve">Evaluation results for above 52.6 </w:t>
      </w:r>
      <w:r>
        <w:rPr>
          <w:rFonts w:cs="Arial"/>
          <w:sz w:val="22"/>
          <w:szCs w:val="22"/>
          <w:lang w:val="en-US" w:eastAsia="zh-CN"/>
        </w:rPr>
        <w:t>GHz</w:t>
      </w:r>
    </w:p>
    <w:p>
      <w:pPr>
        <w:pStyle w:val="41"/>
        <w:tabs>
          <w:tab w:val="left" w:pos="1805"/>
        </w:tabs>
        <w:spacing w:after="60" w:line="240" w:lineRule="auto"/>
        <w:ind w:left="1797" w:hanging="1797"/>
        <w:jc w:val="both"/>
        <w:rPr>
          <w:rFonts w:cs="Arial"/>
          <w:sz w:val="22"/>
          <w:szCs w:val="22"/>
          <w:lang w:eastAsia="zh-CN"/>
        </w:rPr>
      </w:pPr>
      <w:r>
        <w:rPr>
          <w:rFonts w:cs="Arial"/>
          <w:sz w:val="22"/>
          <w:szCs w:val="22"/>
          <w:lang w:eastAsia="zh-CN"/>
        </w:rPr>
        <w:t xml:space="preserve">Source: </w:t>
      </w:r>
      <w:r>
        <w:rPr>
          <w:rFonts w:cs="Arial"/>
          <w:sz w:val="22"/>
          <w:szCs w:val="22"/>
          <w:lang w:eastAsia="zh-CN"/>
        </w:rPr>
        <w:tab/>
      </w:r>
      <w:r>
        <w:rPr>
          <w:rFonts w:cs="Arial"/>
          <w:sz w:val="22"/>
          <w:szCs w:val="22"/>
          <w:lang w:eastAsia="zh-CN"/>
        </w:rPr>
        <w:t>ZTE</w:t>
      </w:r>
      <w:r>
        <w:rPr>
          <w:rFonts w:cs="Arial"/>
          <w:sz w:val="22"/>
          <w:szCs w:val="22"/>
          <w:lang w:val="en-US" w:eastAsia="zh-CN"/>
        </w:rPr>
        <w:t>, Sanechips</w:t>
      </w:r>
    </w:p>
    <w:p>
      <w:pPr>
        <w:pStyle w:val="41"/>
        <w:tabs>
          <w:tab w:val="left" w:pos="1800"/>
        </w:tabs>
        <w:spacing w:after="60" w:line="240" w:lineRule="auto"/>
        <w:jc w:val="both"/>
        <w:rPr>
          <w:rFonts w:hint="default" w:cs="Arial"/>
          <w:sz w:val="22"/>
          <w:szCs w:val="22"/>
          <w:lang w:val="en-US" w:eastAsia="zh-CN"/>
        </w:rPr>
      </w:pPr>
      <w:r>
        <w:rPr>
          <w:rFonts w:cs="Arial"/>
          <w:sz w:val="22"/>
          <w:szCs w:val="22"/>
          <w:lang w:eastAsia="zh-CN"/>
        </w:rPr>
        <w:t>Agenda Item:</w:t>
      </w:r>
      <w:r>
        <w:rPr>
          <w:rFonts w:cs="Arial"/>
          <w:sz w:val="22"/>
          <w:szCs w:val="22"/>
          <w:lang w:eastAsia="zh-CN"/>
        </w:rPr>
        <w:tab/>
      </w:r>
      <w:r>
        <w:rPr>
          <w:rFonts w:hint="eastAsia" w:cs="Arial"/>
          <w:sz w:val="22"/>
          <w:szCs w:val="22"/>
          <w:lang w:val="en-US" w:eastAsia="zh-CN"/>
        </w:rPr>
        <w:t>8.2.7</w:t>
      </w:r>
    </w:p>
    <w:p>
      <w:pPr>
        <w:pStyle w:val="41"/>
        <w:tabs>
          <w:tab w:val="left" w:pos="1800"/>
        </w:tabs>
        <w:spacing w:after="60" w:line="240" w:lineRule="auto"/>
        <w:jc w:val="both"/>
        <w:rPr>
          <w:rFonts w:cs="Arial"/>
          <w:sz w:val="22"/>
          <w:szCs w:val="22"/>
          <w:lang w:eastAsia="zh-CN"/>
        </w:rPr>
      </w:pPr>
      <w:r>
        <w:rPr>
          <w:rFonts w:cs="Arial"/>
          <w:sz w:val="22"/>
          <w:szCs w:val="22"/>
          <w:lang w:eastAsia="zh-CN"/>
        </w:rPr>
        <w:t>Document for:</w:t>
      </w:r>
      <w:r>
        <w:rPr>
          <w:rFonts w:cs="Arial"/>
          <w:sz w:val="22"/>
          <w:szCs w:val="22"/>
          <w:lang w:eastAsia="zh-CN"/>
        </w:rPr>
        <w:tab/>
      </w:r>
      <w:r>
        <w:rPr>
          <w:rFonts w:cs="Arial"/>
          <w:sz w:val="22"/>
          <w:szCs w:val="22"/>
          <w:lang w:eastAsia="zh-CN"/>
        </w:rPr>
        <w:t>Discussion and Decision</w:t>
      </w:r>
    </w:p>
    <w:p>
      <w:pPr>
        <w:pStyle w:val="2"/>
        <w:numPr>
          <w:ilvl w:val="0"/>
          <w:numId w:val="13"/>
        </w:numPr>
        <w:rPr>
          <w:lang w:val="en-US" w:eastAsia="zh-CN"/>
        </w:rPr>
      </w:pPr>
      <w:r>
        <w:rPr>
          <w:rFonts w:hint="eastAsia"/>
          <w:lang w:val="en-US" w:eastAsia="zh-CN"/>
        </w:rPr>
        <w:t xml:space="preserve"> Introduction</w:t>
      </w:r>
    </w:p>
    <w:p>
      <w:pPr>
        <w:pStyle w:val="86"/>
        <w:numPr>
          <w:numId w:val="0"/>
        </w:numPr>
        <w:tabs>
          <w:tab w:val="left" w:pos="425"/>
        </w:tabs>
        <w:spacing w:before="180"/>
        <w:rPr>
          <w:rFonts w:hint="default"/>
          <w:lang w:val="en-US" w:eastAsia="zh-CN"/>
        </w:rPr>
      </w:pPr>
      <w:r>
        <w:rPr>
          <w:rFonts w:hint="eastAsia"/>
          <w:lang w:val="en-US" w:eastAsia="zh-CN"/>
        </w:rPr>
        <w:t>In</w:t>
      </w:r>
      <w:r>
        <w:rPr>
          <w:rFonts w:hint="eastAsia"/>
          <w:lang w:eastAsia="zh-CN"/>
        </w:rPr>
        <w:t xml:space="preserve"> </w:t>
      </w:r>
      <w:r>
        <w:rPr>
          <w:rFonts w:hint="eastAsia"/>
          <w:lang w:val="en-US" w:eastAsia="zh-CN"/>
        </w:rPr>
        <w:t>this contribution, we provide link level simulation results on PDSCH, PUSCH and PUCCH, as well as system level simulation results on channel access mechanism such as Cat2 LBT.</w:t>
      </w:r>
    </w:p>
    <w:p>
      <w:pPr>
        <w:pStyle w:val="2"/>
        <w:numPr>
          <w:ilvl w:val="0"/>
          <w:numId w:val="13"/>
        </w:numPr>
        <w:rPr>
          <w:lang w:val="en-US" w:eastAsia="zh-CN"/>
        </w:rPr>
      </w:pPr>
      <w:r>
        <w:rPr>
          <w:rFonts w:hint="eastAsia"/>
          <w:lang w:val="en-US" w:eastAsia="zh-CN"/>
        </w:rPr>
        <w:t xml:space="preserve"> Link level simulation results</w:t>
      </w:r>
    </w:p>
    <w:p>
      <w:pPr>
        <w:pStyle w:val="3"/>
        <w:numPr>
          <w:ilvl w:val="1"/>
          <w:numId w:val="13"/>
        </w:numPr>
      </w:pPr>
      <w:bookmarkStart w:id="1" w:name="_Toc53775906"/>
      <w:r>
        <w:rPr>
          <w:rFonts w:hint="eastAsia" w:eastAsia="宋体"/>
          <w:lang w:val="en-US" w:eastAsia="zh-CN"/>
        </w:rPr>
        <w:t xml:space="preserve"> PUSCH</w:t>
      </w:r>
      <w:r>
        <w:t xml:space="preserve"> </w:t>
      </w:r>
      <w:bookmarkEnd w:id="1"/>
    </w:p>
    <w:p>
      <w:r>
        <w:rPr>
          <w:rFonts w:hint="eastAsia"/>
          <w:lang w:val="en-US" w:eastAsia="zh-CN"/>
        </w:rPr>
        <w:t xml:space="preserve">Regarding the PTRS pattern for DFT-s-OFDM waveform, five different configurations can be chosen according to the allocated RB number as shown in Table 6.2.3.2-1 in TS38.211. </w:t>
      </w:r>
    </w:p>
    <w:p>
      <w:r>
        <w:rPr>
          <w:lang w:val="en-US" w:eastAsia="zh-CN"/>
        </w:rPr>
        <w:drawing>
          <wp:inline distT="0" distB="0" distL="0" distR="0">
            <wp:extent cx="6120765" cy="1760220"/>
            <wp:effectExtent l="0" t="0" r="0" b="0"/>
            <wp:docPr id="8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6120765" cy="1760672"/>
                    </a:xfrm>
                    <a:prstGeom prst="rect">
                      <a:avLst/>
                    </a:prstGeom>
                    <a:noFill/>
                    <a:ln>
                      <a:noFill/>
                    </a:ln>
                  </pic:spPr>
                </pic:pic>
              </a:graphicData>
            </a:graphic>
          </wp:inline>
        </w:drawing>
      </w:r>
    </w:p>
    <w:p>
      <w:pPr>
        <w:rPr>
          <w:rFonts w:hint="default"/>
          <w:lang w:val="en-US" w:eastAsia="zh-CN"/>
        </w:rPr>
      </w:pPr>
      <w:r>
        <w:rPr>
          <w:rFonts w:hint="eastAsia"/>
          <w:lang w:val="en-US" w:eastAsia="zh-CN"/>
        </w:rPr>
        <w:t xml:space="preserve">In RAN1 #104b-e meeting, some companies propose that increasing the number of PTRS groups can bring performance gain for 120kHz DFT-s-OFDM waveform with large allocated PRB number(e.g. 256 PRBs). Moderator suggest to evaluate the specific PTRS density configuration in the following agreement. </w:t>
      </w:r>
    </w:p>
    <w:p>
      <w:pPr>
        <w:rPr>
          <w:rFonts w:hint="eastAsia"/>
          <w:lang w:val="en-US" w:eastAsia="zh-CN"/>
        </w:rPr>
      </w:pPr>
      <w:r>
        <w:rPr>
          <w:rFonts w:ascii="Arial" w:hAnsi="Arial" w:cs="Arial"/>
          <w:color w:val="000000"/>
          <w:lang w:val="en-US" w:eastAsia="zh-CN"/>
        </w:rPr>
        <mc:AlternateContent>
          <mc:Choice Requires="wps">
            <w:drawing>
              <wp:inline distT="0" distB="0" distL="0" distR="0">
                <wp:extent cx="6088380" cy="2000885"/>
                <wp:effectExtent l="4445" t="4445" r="22225" b="13970"/>
                <wp:docPr id="59"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88380" cy="2000885"/>
                        </a:xfrm>
                        <a:prstGeom prst="rect">
                          <a:avLst/>
                        </a:prstGeom>
                        <a:solidFill>
                          <a:srgbClr val="FFFFFF"/>
                        </a:solidFill>
                        <a:ln w="9525">
                          <a:solidFill>
                            <a:srgbClr val="000000"/>
                          </a:solidFill>
                          <a:miter lim="800000"/>
                        </a:ln>
                      </wps:spPr>
                      <wps:txb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spacing w:after="0" w:line="240" w:lineRule="auto"/>
                              <w:rPr>
                                <w:rFonts w:ascii="Times" w:hAnsi="Times" w:eastAsia="Batang"/>
                                <w:szCs w:val="24"/>
                              </w:rPr>
                            </w:pPr>
                            <w:r>
                              <w:rPr>
                                <w:rFonts w:ascii="Times" w:hAnsi="Times" w:eastAsia="Batang"/>
                                <w:szCs w:val="24"/>
                              </w:rPr>
                              <w:t>Continue study at least the following aspects for potential PTRS enhancement for DFT-s-OFDM for NR operation in 52.6 to 71 GHz</w:t>
                            </w:r>
                          </w:p>
                          <w:p>
                            <w:pPr>
                              <w:numPr>
                                <w:ilvl w:val="0"/>
                                <w:numId w:val="14"/>
                              </w:numPr>
                              <w:overflowPunct w:val="0"/>
                              <w:autoSpaceDE w:val="0"/>
                              <w:autoSpaceDN w:val="0"/>
                              <w:adjustRightInd w:val="0"/>
                              <w:spacing w:after="0" w:line="259" w:lineRule="auto"/>
                              <w:ind w:left="720" w:hanging="36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The need of potential PTRS enhancement</w:t>
                            </w:r>
                          </w:p>
                          <w:p>
                            <w:pPr>
                              <w:numPr>
                                <w:ilvl w:val="0"/>
                                <w:numId w:val="14"/>
                              </w:numPr>
                              <w:spacing w:line="259" w:lineRule="auto"/>
                              <w:ind w:left="720" w:leftChars="0" w:hanging="36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en-US" w:bidi="ar-SA"/>
                              </w:rPr>
                              <w:t>PTRS pattern with more PTRS groups within one DFT-s-OFDM symbol when a large number of PRBs is scheduled</w:t>
                            </w:r>
                          </w:p>
                          <w:p>
                            <w:pPr>
                              <w:numPr>
                                <w:ilvl w:val="1"/>
                                <w:numId w:val="14"/>
                              </w:numPr>
                              <w:spacing w:line="259" w:lineRule="auto"/>
                              <w:ind w:left="1440" w:leftChars="0" w:hanging="36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en-US" w:bidi="ar-SA"/>
                              </w:rPr>
                              <w:t xml:space="preserve">(Ng = 8, Ns = 4, L = 1), (Ng = 16, Ns = 2, L = 1), (Ng = 16, Ns = 4, L = 1), </w:t>
                            </w:r>
                          </w:p>
                          <w:p>
                            <w:pPr>
                              <w:numPr>
                                <w:ilvl w:val="1"/>
                                <w:numId w:val="14"/>
                              </w:numPr>
                              <w:spacing w:line="259" w:lineRule="auto"/>
                              <w:ind w:left="1440" w:leftChars="0" w:hanging="36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en-US" w:bidi="ar-SA"/>
                              </w:rPr>
                              <w:t>Note: Ng number of PT-RS groups, Ns number of samples per PT-RS group, and PTRS every L number of DFT-s-OFDM symbols</w:t>
                            </w:r>
                          </w:p>
                          <w:p>
                            <w:pPr>
                              <w:numPr>
                                <w:ilvl w:val="1"/>
                                <w:numId w:val="14"/>
                              </w:numPr>
                              <w:spacing w:line="259" w:lineRule="auto"/>
                              <w:ind w:left="1440" w:leftChars="0" w:hanging="36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en-US" w:bidi="ar-SA"/>
                              </w:rPr>
                              <w:t>Other patterns are not precluded</w:t>
                            </w:r>
                          </w:p>
                          <w:p>
                            <w:pPr>
                              <w:numPr>
                                <w:ilvl w:val="0"/>
                                <w:numId w:val="14"/>
                              </w:numPr>
                              <w:spacing w:line="259" w:lineRule="auto"/>
                              <w:ind w:left="720" w:leftChars="0" w:hanging="36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en-US" w:bidi="ar-SA"/>
                              </w:rPr>
                              <w:t>Other aspects of PTRS enhancements are not precluded from further study</w:t>
                            </w:r>
                          </w:p>
                          <w:p>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w:pict>
              <v:shape id="Text Box 2" o:spid="_x0000_s1026" o:spt="202" type="#_x0000_t202" style="height:157.55pt;width:479.4pt;" fillcolor="#FFFFFF" filled="t" stroked="t" coordsize="21600,21600" o:gfxdata="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pHQr1gAAAAUBAAAPAAAAAAAAAAEAIAAA&#10;ACIAAABkcnMvZG93bnJldi54bWxQSwECFAAUAAAACACHTuJA3xutLg4CAAAuBAAADgAAAAAAAAAB&#10;ACAAAAAlAQAAZHJzL2Uyb0RvYy54bWxQSwUGAAAAAAYABgBZAQAApQUAAAAA&#10;">
                <v:fill on="t" focussize="0,0"/>
                <v:stroke color="#000000" miterlimit="8" joinstyle="miter"/>
                <v:imagedata o:title=""/>
                <o:lock v:ext="edit" aspectratio="f"/>
                <v:textbo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spacing w:after="0" w:line="240" w:lineRule="auto"/>
                        <w:rPr>
                          <w:rFonts w:ascii="Times" w:hAnsi="Times" w:eastAsia="Batang"/>
                          <w:szCs w:val="24"/>
                        </w:rPr>
                      </w:pPr>
                      <w:r>
                        <w:rPr>
                          <w:rFonts w:ascii="Times" w:hAnsi="Times" w:eastAsia="Batang"/>
                          <w:szCs w:val="24"/>
                        </w:rPr>
                        <w:t>Continue study at least the following aspects for potential PTRS enhancement for DFT-s-OFDM for NR operation in 52.6 to 71 GHz</w:t>
                      </w:r>
                    </w:p>
                    <w:p>
                      <w:pPr>
                        <w:numPr>
                          <w:ilvl w:val="0"/>
                          <w:numId w:val="14"/>
                        </w:numPr>
                        <w:overflowPunct w:val="0"/>
                        <w:autoSpaceDE w:val="0"/>
                        <w:autoSpaceDN w:val="0"/>
                        <w:adjustRightInd w:val="0"/>
                        <w:spacing w:after="0" w:line="259" w:lineRule="auto"/>
                        <w:ind w:left="720" w:hanging="36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The need of potential PTRS enhancement</w:t>
                      </w:r>
                    </w:p>
                    <w:p>
                      <w:pPr>
                        <w:numPr>
                          <w:ilvl w:val="0"/>
                          <w:numId w:val="14"/>
                        </w:numPr>
                        <w:spacing w:line="259" w:lineRule="auto"/>
                        <w:ind w:left="720" w:leftChars="0" w:hanging="36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en-US" w:bidi="ar-SA"/>
                        </w:rPr>
                        <w:t>PTRS pattern with more PTRS groups within one DFT-s-OFDM symbol when a large number of PRBs is scheduled</w:t>
                      </w:r>
                    </w:p>
                    <w:p>
                      <w:pPr>
                        <w:numPr>
                          <w:ilvl w:val="1"/>
                          <w:numId w:val="14"/>
                        </w:numPr>
                        <w:spacing w:line="259" w:lineRule="auto"/>
                        <w:ind w:left="1440" w:leftChars="0" w:hanging="36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en-US" w:bidi="ar-SA"/>
                        </w:rPr>
                        <w:t xml:space="preserve">(Ng = 8, Ns = 4, L = 1), (Ng = 16, Ns = 2, L = 1), (Ng = 16, Ns = 4, L = 1), </w:t>
                      </w:r>
                    </w:p>
                    <w:p>
                      <w:pPr>
                        <w:numPr>
                          <w:ilvl w:val="1"/>
                          <w:numId w:val="14"/>
                        </w:numPr>
                        <w:spacing w:line="259" w:lineRule="auto"/>
                        <w:ind w:left="1440" w:leftChars="0" w:hanging="36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en-US" w:bidi="ar-SA"/>
                        </w:rPr>
                        <w:t>Note: Ng number of PT-RS groups, Ns number of samples per PT-RS group, and PTRS every L number of DFT-s-OFDM symbols</w:t>
                      </w:r>
                    </w:p>
                    <w:p>
                      <w:pPr>
                        <w:numPr>
                          <w:ilvl w:val="1"/>
                          <w:numId w:val="14"/>
                        </w:numPr>
                        <w:spacing w:line="259" w:lineRule="auto"/>
                        <w:ind w:left="1440" w:leftChars="0" w:hanging="36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en-US" w:bidi="ar-SA"/>
                        </w:rPr>
                        <w:t>Other patterns are not precluded</w:t>
                      </w:r>
                    </w:p>
                    <w:p>
                      <w:pPr>
                        <w:numPr>
                          <w:ilvl w:val="0"/>
                          <w:numId w:val="14"/>
                        </w:numPr>
                        <w:spacing w:line="259" w:lineRule="auto"/>
                        <w:ind w:left="720" w:leftChars="0" w:hanging="36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en-US" w:bidi="ar-SA"/>
                        </w:rPr>
                        <w:t>Other aspects of PTRS enhancements are not precluded from further study</w:t>
                      </w:r>
                    </w:p>
                    <w:p>
                      <w:pPr>
                        <w:numPr>
                          <w:ilvl w:val="255"/>
                          <w:numId w:val="0"/>
                        </w:numPr>
                        <w:spacing w:after="0" w:line="240" w:lineRule="auto"/>
                        <w:rPr>
                          <w:b/>
                          <w:bCs/>
                          <w:lang w:eastAsia="zh-CN"/>
                        </w:rPr>
                      </w:pPr>
                    </w:p>
                  </w:txbxContent>
                </v:textbox>
                <w10:wrap type="none"/>
                <w10:anchorlock/>
              </v:shape>
            </w:pict>
          </mc:Fallback>
        </mc:AlternateContent>
      </w:r>
    </w:p>
    <w:p>
      <w:pPr>
        <w:rPr>
          <w:rFonts w:hint="default" w:ascii="Arial" w:hAnsi="Arial" w:cs="Arial"/>
          <w:color w:val="000000"/>
          <w:lang w:val="en-US" w:eastAsia="zh-CN"/>
        </w:rPr>
      </w:pPr>
      <w:r>
        <w:rPr>
          <w:rFonts w:hint="eastAsia"/>
          <w:lang w:val="en-US" w:eastAsia="zh-CN"/>
        </w:rPr>
        <w:t xml:space="preserve">In this chapter, we evaluate the performance of PUSCH with PTRS enhancement for DFT-s-OFDM with increased PTRS groups(e.g.Ng=16), we assume the allocated PRB number is 256 and MCS equal to 22. </w:t>
      </w:r>
    </w:p>
    <w:p>
      <w:r>
        <w:drawing>
          <wp:inline distT="0" distB="0" distL="114300" distR="114300">
            <wp:extent cx="2833370" cy="2127885"/>
            <wp:effectExtent l="0" t="0" r="0" b="571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5"/>
                    <a:stretch>
                      <a:fillRect/>
                    </a:stretch>
                  </pic:blipFill>
                  <pic:spPr>
                    <a:xfrm>
                      <a:off x="0" y="0"/>
                      <a:ext cx="2833370" cy="2127885"/>
                    </a:xfrm>
                    <a:prstGeom prst="rect">
                      <a:avLst/>
                    </a:prstGeom>
                    <a:noFill/>
                    <a:ln w="9525">
                      <a:noFill/>
                    </a:ln>
                  </pic:spPr>
                </pic:pic>
              </a:graphicData>
            </a:graphic>
          </wp:inline>
        </w:drawing>
      </w:r>
      <w:r>
        <w:drawing>
          <wp:inline distT="0" distB="0" distL="114300" distR="114300">
            <wp:extent cx="2787015" cy="2094230"/>
            <wp:effectExtent l="0" t="0" r="0" b="127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6"/>
                    <a:stretch>
                      <a:fillRect/>
                    </a:stretch>
                  </pic:blipFill>
                  <pic:spPr>
                    <a:xfrm>
                      <a:off x="0" y="0"/>
                      <a:ext cx="2787015" cy="2094230"/>
                    </a:xfrm>
                    <a:prstGeom prst="rect">
                      <a:avLst/>
                    </a:prstGeom>
                    <a:noFill/>
                    <a:ln w="9525">
                      <a:noFill/>
                    </a:ln>
                  </pic:spPr>
                </pic:pic>
              </a:graphicData>
            </a:graphic>
          </wp:inline>
        </w:drawing>
      </w:r>
    </w:p>
    <w:p>
      <w:pPr>
        <w:jc w:val="center"/>
        <w:rPr>
          <w:lang w:val="en-US" w:eastAsia="zh-CN"/>
        </w:rPr>
      </w:pPr>
      <w:r>
        <w:drawing>
          <wp:inline distT="0" distB="0" distL="114300" distR="114300">
            <wp:extent cx="2674620" cy="2099310"/>
            <wp:effectExtent l="0" t="0" r="0" b="1524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7"/>
                    <a:stretch>
                      <a:fillRect/>
                    </a:stretch>
                  </pic:blipFill>
                  <pic:spPr>
                    <a:xfrm>
                      <a:off x="0" y="0"/>
                      <a:ext cx="2674620" cy="2099310"/>
                    </a:xfrm>
                    <a:prstGeom prst="rect">
                      <a:avLst/>
                    </a:prstGeom>
                    <a:noFill/>
                    <a:ln w="9525">
                      <a:noFill/>
                    </a:ln>
                  </pic:spPr>
                </pic:pic>
              </a:graphicData>
            </a:graphic>
          </wp:inline>
        </w:drawing>
      </w:r>
    </w:p>
    <w:p>
      <w:pPr>
        <w:jc w:val="center"/>
        <w:rPr>
          <w:rFonts w:hint="eastAsia"/>
          <w:lang w:val="en-US" w:eastAsia="zh-CN"/>
        </w:rPr>
      </w:pPr>
      <w:r>
        <w:rPr>
          <w:rFonts w:hint="eastAsia"/>
          <w:lang w:val="en-US" w:eastAsia="zh-CN"/>
        </w:rPr>
        <w:t>Figure 2.1-1 BLER vs SNR performance of DFT-s-OFDM</w:t>
      </w:r>
    </w:p>
    <w:p>
      <w:pPr>
        <w:rPr>
          <w:lang w:val="en-US" w:eastAsia="zh-CN"/>
        </w:rPr>
      </w:pPr>
      <w:r>
        <w:rPr>
          <w:rFonts w:hint="eastAsia"/>
          <w:lang w:val="en-US" w:eastAsia="zh-CN"/>
        </w:rPr>
        <w:t xml:space="preserve">According to the BLER vs SNR curves with 256 PRBs as shown in Figure 2.1-1,  </w:t>
      </w:r>
    </w:p>
    <w:p>
      <w:pPr>
        <w:numPr>
          <w:ilvl w:val="0"/>
          <w:numId w:val="15"/>
        </w:numPr>
        <w:rPr>
          <w:lang w:val="en-US" w:eastAsia="zh-CN"/>
        </w:rPr>
      </w:pPr>
      <w:r>
        <w:rPr>
          <w:rFonts w:hint="eastAsia"/>
          <w:lang w:val="en-US" w:eastAsia="zh-CN"/>
        </w:rPr>
        <w:t>With 10ns and 20ns delay spread, the performance of PTRS configuration(Ng=8, Ns=4) cannot achieve 1% BLER and there is an error floor.</w:t>
      </w:r>
    </w:p>
    <w:p>
      <w:pPr>
        <w:numPr>
          <w:ilvl w:val="0"/>
          <w:numId w:val="15"/>
        </w:numPr>
        <w:rPr>
          <w:rFonts w:hint="default"/>
          <w:lang w:val="en-US" w:eastAsia="zh-CN"/>
        </w:rPr>
      </w:pPr>
      <w:r>
        <w:rPr>
          <w:rFonts w:hint="eastAsia"/>
          <w:lang w:val="en-US" w:eastAsia="zh-CN"/>
        </w:rPr>
        <w:t>PTRS configuration(Ng=16, Ns=2) can bring 0.5dB, 0.7dB and 4.7dB performance gain compared with PTRS configuration(Ns=8, Ns=4) with delay spread 5ns, 10ns and 15ns respectively.</w:t>
      </w:r>
    </w:p>
    <w:p>
      <w:pPr>
        <w:numPr>
          <w:ilvl w:val="0"/>
          <w:numId w:val="15"/>
        </w:numPr>
        <w:rPr>
          <w:rFonts w:hint="default"/>
          <w:lang w:val="en-US" w:eastAsia="zh-CN"/>
        </w:rPr>
      </w:pPr>
      <w:r>
        <w:rPr>
          <w:rFonts w:hint="eastAsia"/>
          <w:lang w:val="en-US" w:eastAsia="zh-CN"/>
        </w:rPr>
        <w:t>PTRS configuration(Ng=16, Ns=4) can bring 1.9dB, 2.4dB and 6.4dB performance gain compared with PTRS configuration(Ns=8, Ns=4) with delay spread 5ns, 10ns and 15ns respectively.</w:t>
      </w:r>
    </w:p>
    <w:p>
      <w:pPr>
        <w:numPr>
          <w:ilvl w:val="0"/>
          <w:numId w:val="0"/>
        </w:numPr>
        <w:ind w:leftChars="0"/>
        <w:rPr>
          <w:rFonts w:hint="eastAsia"/>
          <w:lang w:val="en-US" w:eastAsia="zh-CN"/>
        </w:rPr>
      </w:pPr>
      <w:r>
        <w:rPr>
          <w:rFonts w:hint="eastAsia"/>
          <w:lang w:val="en-US" w:eastAsia="zh-CN"/>
        </w:rPr>
        <w:t>Since the PTRS overhead of these configurations are different, the spectral efficiency is further evaluated and can be shown below:</w:t>
      </w:r>
    </w:p>
    <w:p>
      <w:pPr>
        <w:numPr>
          <w:ilvl w:val="0"/>
          <w:numId w:val="0"/>
        </w:numPr>
        <w:ind w:leftChars="0"/>
      </w:pPr>
      <w:r>
        <w:drawing>
          <wp:inline distT="0" distB="0" distL="114300" distR="114300">
            <wp:extent cx="2653030" cy="1908175"/>
            <wp:effectExtent l="0" t="0" r="0" b="1587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8"/>
                    <a:stretch>
                      <a:fillRect/>
                    </a:stretch>
                  </pic:blipFill>
                  <pic:spPr>
                    <a:xfrm>
                      <a:off x="0" y="0"/>
                      <a:ext cx="2653030" cy="1908175"/>
                    </a:xfrm>
                    <a:prstGeom prst="rect">
                      <a:avLst/>
                    </a:prstGeom>
                    <a:noFill/>
                    <a:ln w="9525">
                      <a:noFill/>
                    </a:ln>
                  </pic:spPr>
                </pic:pic>
              </a:graphicData>
            </a:graphic>
          </wp:inline>
        </w:drawing>
      </w:r>
      <w:r>
        <w:drawing>
          <wp:inline distT="0" distB="0" distL="114300" distR="114300">
            <wp:extent cx="2560955" cy="1922780"/>
            <wp:effectExtent l="0" t="0" r="0" b="127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9"/>
                    <a:stretch>
                      <a:fillRect/>
                    </a:stretch>
                  </pic:blipFill>
                  <pic:spPr>
                    <a:xfrm>
                      <a:off x="0" y="0"/>
                      <a:ext cx="2560955" cy="1922780"/>
                    </a:xfrm>
                    <a:prstGeom prst="rect">
                      <a:avLst/>
                    </a:prstGeom>
                    <a:noFill/>
                    <a:ln w="9525">
                      <a:noFill/>
                    </a:ln>
                  </pic:spPr>
                </pic:pic>
              </a:graphicData>
            </a:graphic>
          </wp:inline>
        </w:drawing>
      </w:r>
    </w:p>
    <w:p>
      <w:pPr>
        <w:numPr>
          <w:ilvl w:val="0"/>
          <w:numId w:val="0"/>
        </w:numPr>
        <w:ind w:leftChars="0"/>
        <w:jc w:val="center"/>
      </w:pPr>
      <w:r>
        <w:drawing>
          <wp:inline distT="0" distB="0" distL="114300" distR="114300">
            <wp:extent cx="2622550" cy="1969135"/>
            <wp:effectExtent l="0" t="0" r="0" b="12065"/>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10"/>
                    <a:stretch>
                      <a:fillRect/>
                    </a:stretch>
                  </pic:blipFill>
                  <pic:spPr>
                    <a:xfrm>
                      <a:off x="0" y="0"/>
                      <a:ext cx="2622550" cy="1969135"/>
                    </a:xfrm>
                    <a:prstGeom prst="rect">
                      <a:avLst/>
                    </a:prstGeom>
                    <a:noFill/>
                    <a:ln w="9525">
                      <a:noFill/>
                    </a:ln>
                  </pic:spPr>
                </pic:pic>
              </a:graphicData>
            </a:graphic>
          </wp:inline>
        </w:drawing>
      </w:r>
    </w:p>
    <w:p>
      <w:pPr>
        <w:numPr>
          <w:ilvl w:val="0"/>
          <w:numId w:val="0"/>
        </w:numPr>
        <w:ind w:leftChars="0"/>
        <w:jc w:val="center"/>
        <w:rPr>
          <w:rFonts w:hint="eastAsia" w:eastAsia="宋体"/>
          <w:lang w:val="en-US" w:eastAsia="zh-CN"/>
        </w:rPr>
      </w:pPr>
      <w:r>
        <w:rPr>
          <w:rFonts w:hint="eastAsia" w:eastAsia="宋体"/>
          <w:lang w:val="en-US" w:eastAsia="zh-CN"/>
        </w:rPr>
        <w:t>Figure 2.1-2 Spectral efficiency of DFT-s-OFDM</w:t>
      </w:r>
    </w:p>
    <w:p>
      <w:pPr>
        <w:numPr>
          <w:ilvl w:val="0"/>
          <w:numId w:val="0"/>
        </w:numPr>
        <w:ind w:leftChars="0"/>
        <w:jc w:val="both"/>
        <w:rPr>
          <w:rFonts w:hint="default" w:eastAsia="宋体"/>
          <w:lang w:val="en-US" w:eastAsia="zh-CN"/>
        </w:rPr>
      </w:pPr>
      <w:r>
        <w:rPr>
          <w:rFonts w:hint="eastAsia" w:eastAsia="宋体"/>
          <w:lang w:val="en-US" w:eastAsia="zh-CN"/>
        </w:rPr>
        <w:t>As shown in Figure 2.1-2, increasing PTRS group can provide performance gain in terms of spectral efficiency even with higher PTRS overhead.</w:t>
      </w:r>
    </w:p>
    <w:p>
      <w:pPr>
        <w:rPr>
          <w:rFonts w:hint="eastAsia"/>
          <w:b/>
          <w:bCs/>
          <w:lang w:val="en-US" w:eastAsia="zh-CN"/>
        </w:rPr>
      </w:pPr>
      <w:r>
        <w:rPr>
          <w:rFonts w:hint="eastAsia"/>
          <w:b/>
          <w:bCs/>
          <w:lang w:val="en-US" w:eastAsia="zh-CN"/>
        </w:rPr>
        <w:t>Observation 1: Increasing PTRS groups for DFT-s-OFDM waveform can bring benefit to performance of 120kHz SCS and MCS 22.</w:t>
      </w:r>
    </w:p>
    <w:p>
      <w:pPr>
        <w:pStyle w:val="32"/>
      </w:pPr>
    </w:p>
    <w:p>
      <w:pPr>
        <w:pStyle w:val="3"/>
        <w:numPr>
          <w:ilvl w:val="1"/>
          <w:numId w:val="13"/>
        </w:numPr>
        <w:rPr>
          <w:rFonts w:eastAsia="宋体"/>
          <w:lang w:val="en-US" w:eastAsia="zh-CN"/>
        </w:rPr>
      </w:pPr>
      <w:bookmarkStart w:id="2" w:name="_Toc53775907"/>
      <w:r>
        <w:rPr>
          <w:rFonts w:hint="eastAsia" w:eastAsia="宋体"/>
          <w:lang w:val="en-US" w:eastAsia="zh-CN"/>
        </w:rPr>
        <w:t xml:space="preserve"> PDSCH</w:t>
      </w:r>
      <w:r>
        <w:rPr>
          <w:rFonts w:eastAsia="宋体"/>
          <w:lang w:val="en-US" w:eastAsia="zh-CN"/>
        </w:rPr>
        <w:t xml:space="preserve"> </w:t>
      </w:r>
      <w:bookmarkEnd w:id="2"/>
    </w:p>
    <w:p>
      <w:pPr>
        <w:numPr>
          <w:ilvl w:val="0"/>
          <w:numId w:val="16"/>
        </w:numPr>
        <w:ind w:left="420" w:leftChars="0" w:hanging="420" w:firstLineChars="0"/>
        <w:rPr>
          <w:lang w:val="en-US"/>
        </w:rPr>
      </w:pPr>
      <w:r>
        <w:rPr>
          <w:rFonts w:hint="eastAsia"/>
          <w:lang w:val="en-US" w:eastAsia="zh-CN"/>
        </w:rPr>
        <w:t>PTRS density</w:t>
      </w:r>
    </w:p>
    <w:p>
      <w:pPr>
        <w:numPr>
          <w:ilvl w:val="0"/>
          <w:numId w:val="0"/>
        </w:numPr>
        <w:ind w:leftChars="0"/>
        <w:rPr>
          <w:rFonts w:hint="eastAsia" w:eastAsia="宋体"/>
          <w:lang w:val="en-US" w:eastAsia="zh-CN"/>
        </w:rPr>
      </w:pPr>
      <w:r>
        <w:rPr>
          <w:rFonts w:hint="eastAsia" w:eastAsia="宋体"/>
          <w:lang w:val="en-US" w:eastAsia="zh-CN"/>
        </w:rPr>
        <w:t>In RAN1 #104b-e meeting, some companies propose that the performance of higher PTRS density might be better when the allocated RB number is relatively small. Then we have the following agreement to conclude that when RB number is larger than 32, increased PTRS density is not supported, and encourage companies to evaluate the higher PTRS density with the specific configuration.</w:t>
      </w:r>
    </w:p>
    <w:p>
      <w:pPr>
        <w:numPr>
          <w:ilvl w:val="0"/>
          <w:numId w:val="0"/>
        </w:numPr>
        <w:ind w:leftChars="0"/>
        <w:rPr>
          <w:rFonts w:hint="eastAsia" w:eastAsia="宋体"/>
          <w:lang w:val="en-US" w:eastAsia="zh-CN"/>
        </w:rPr>
      </w:pPr>
      <w:r>
        <w:rPr>
          <w:rFonts w:ascii="Arial" w:hAnsi="Arial" w:cs="Arial"/>
          <w:color w:val="000000"/>
          <w:lang w:val="en-US" w:eastAsia="zh-CN"/>
        </w:rPr>
        <mc:AlternateContent>
          <mc:Choice Requires="wps">
            <w:drawing>
              <wp:inline distT="0" distB="0" distL="0" distR="0">
                <wp:extent cx="6088380" cy="2450465"/>
                <wp:effectExtent l="4445" t="4445" r="22225" b="21590"/>
                <wp:docPr id="7"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88380" cy="2450465"/>
                        </a:xfrm>
                        <a:prstGeom prst="rect">
                          <a:avLst/>
                        </a:prstGeom>
                        <a:solidFill>
                          <a:srgbClr val="FFFFFF"/>
                        </a:solidFill>
                        <a:ln w="9525">
                          <a:solidFill>
                            <a:srgbClr val="000000"/>
                          </a:solidFill>
                          <a:miter lim="800000"/>
                        </a:ln>
                      </wps:spPr>
                      <wps:txb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numPr>
                                <w:ilvl w:val="0"/>
                                <w:numId w:val="17"/>
                              </w:numPr>
                              <w:spacing w:line="259" w:lineRule="auto"/>
                              <w:ind w:left="720" w:leftChars="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zh-CN" w:bidi="ar-SA"/>
                              </w:rPr>
                              <w:t>In Rel-17, for NR operation in 52.6 – 71 GHz, conclude that increased PTRS frequency density</w:t>
                            </w:r>
                            <w:r>
                              <w:rPr>
                                <w:rFonts w:ascii="Times New Roman" w:hAnsi="Times New Roman" w:eastAsia="Batang" w:cs="Times New Roman"/>
                                <w:szCs w:val="20"/>
                                <w:lang w:val="en-GB" w:eastAsia="en-US" w:bidi="ar-SA"/>
                              </w:rPr>
                              <w:t xml:space="preserve"> is not supported for CP-OFDM at least for Rel-15 PTRS pattern when the allocated number of RB &gt; 32</w:t>
                            </w:r>
                          </w:p>
                          <w:p>
                            <w:pPr>
                              <w:numPr>
                                <w:ilvl w:val="0"/>
                                <w:numId w:val="17"/>
                              </w:numPr>
                              <w:overflowPunct w:val="0"/>
                              <w:autoSpaceDE w:val="0"/>
                              <w:autoSpaceDN w:val="0"/>
                              <w:adjustRightInd w:val="0"/>
                              <w:spacing w:after="0" w:line="259" w:lineRule="auto"/>
                              <w:ind w:left="72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 xml:space="preserve">Companies are encouraged to study whether to increase PTRS frequency density for small RB allocations </w:t>
                            </w:r>
                            <w:r>
                              <w:rPr>
                                <w:rFonts w:ascii="Times New Roman" w:hAnsi="Times New Roman" w:eastAsia="Batang" w:cs="Times New Roman"/>
                                <w:szCs w:val="20"/>
                                <w:lang w:val="en-GB" w:eastAsia="en-US" w:bidi="ar-SA"/>
                              </w:rPr>
                              <w:t>for CP-OFDM for NR operation in 52.6 to 71 GHz with respect to phase noise compensation performance</w:t>
                            </w:r>
                          </w:p>
                          <w:p>
                            <w:pPr>
                              <w:numPr>
                                <w:ilvl w:val="1"/>
                                <w:numId w:val="17"/>
                              </w:numPr>
                              <w:overflowPunct w:val="0"/>
                              <w:autoSpaceDE w:val="0"/>
                              <w:autoSpaceDN w:val="0"/>
                              <w:adjustRightInd w:val="0"/>
                              <w:spacing w:after="0" w:line="259" w:lineRule="auto"/>
                              <w:ind w:left="144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CPE and ICI PN compensation</w:t>
                            </w:r>
                          </w:p>
                          <w:p>
                            <w:pPr>
                              <w:numPr>
                                <w:ilvl w:val="2"/>
                                <w:numId w:val="17"/>
                              </w:numPr>
                              <w:overflowPunct w:val="0"/>
                              <w:autoSpaceDE w:val="0"/>
                              <w:autoSpaceDN w:val="0"/>
                              <w:adjustRightInd w:val="0"/>
                              <w:spacing w:after="0" w:line="280" w:lineRule="atLeast"/>
                              <w:ind w:left="216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Note: Results for CPE compensation-only are to be reported for reference</w:t>
                            </w:r>
                          </w:p>
                          <w:p>
                            <w:pPr>
                              <w:numPr>
                                <w:ilvl w:val="1"/>
                                <w:numId w:val="17"/>
                              </w:numPr>
                              <w:overflowPunct w:val="0"/>
                              <w:autoSpaceDE w:val="0"/>
                              <w:autoSpaceDN w:val="0"/>
                              <w:adjustRightInd w:val="0"/>
                              <w:spacing w:after="0" w:line="259" w:lineRule="auto"/>
                              <w:ind w:left="144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(K = 0.5, L = 1), (K = 1, L = 1), (K = 2, L = 1),</w:t>
                            </w:r>
                          </w:p>
                          <w:p>
                            <w:pPr>
                              <w:numPr>
                                <w:ilvl w:val="2"/>
                                <w:numId w:val="17"/>
                              </w:numPr>
                              <w:overflowPunct w:val="0"/>
                              <w:autoSpaceDE w:val="0"/>
                              <w:autoSpaceDN w:val="0"/>
                              <w:adjustRightInd w:val="0"/>
                              <w:spacing w:after="0" w:line="259" w:lineRule="auto"/>
                              <w:ind w:left="216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Note: PTRS per K number of PRBs, and PTRS every L number of OFDM symbols</w:t>
                            </w:r>
                          </w:p>
                          <w:p>
                            <w:pPr>
                              <w:numPr>
                                <w:ilvl w:val="1"/>
                                <w:numId w:val="17"/>
                              </w:numPr>
                              <w:overflowPunct w:val="0"/>
                              <w:autoSpaceDE w:val="0"/>
                              <w:autoSpaceDN w:val="0"/>
                              <w:adjustRightInd w:val="0"/>
                              <w:spacing w:after="0" w:line="259" w:lineRule="auto"/>
                              <w:ind w:left="144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Number of RBs: 8, 16, 32</w:t>
                            </w:r>
                          </w:p>
                          <w:p>
                            <w:pPr>
                              <w:numPr>
                                <w:ilvl w:val="1"/>
                                <w:numId w:val="17"/>
                              </w:numPr>
                              <w:overflowPunct w:val="0"/>
                              <w:autoSpaceDE w:val="0"/>
                              <w:autoSpaceDN w:val="0"/>
                              <w:adjustRightInd w:val="0"/>
                              <w:spacing w:after="0" w:line="259" w:lineRule="auto"/>
                              <w:ind w:left="144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 xml:space="preserve">Other values of K and number of RBs are not precluded </w:t>
                            </w:r>
                          </w:p>
                          <w:p>
                            <w:pPr>
                              <w:numPr>
                                <w:ilvl w:val="0"/>
                                <w:numId w:val="17"/>
                              </w:numPr>
                              <w:overflowPunct w:val="0"/>
                              <w:autoSpaceDE w:val="0"/>
                              <w:autoSpaceDN w:val="0"/>
                              <w:adjustRightInd w:val="0"/>
                              <w:spacing w:after="0" w:line="259" w:lineRule="auto"/>
                              <w:ind w:left="72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 xml:space="preserve">Study on other aspects of potential PTRS enhancement (e.g., decreased PTRS frequency density) is not precluded </w:t>
                            </w:r>
                          </w:p>
                          <w:p>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w:pict>
              <v:shape id="Text Box 2" o:spid="_x0000_s1026" o:spt="202" type="#_x0000_t202" style="height:192.95pt;width:479.4pt;" fillcolor="#FFFFFF" filled="t" stroked="t" coordsize="21600,21600" o:gfxdata="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TP9mNYAAAAFAQAADwAAAAAAAAABACAA&#10;AAAiAAAAZHJzL2Rvd25yZXYueG1sUEsBAhQAFAAAAAgAh07iQKfiA1YPAgAALQQAAA4AAAAAAAAA&#10;AQAgAAAAJQEAAGRycy9lMm9Eb2MueG1sUEsFBgAAAAAGAAYAWQEAAKYFAAAAAA==&#10;">
                <v:fill on="t" focussize="0,0"/>
                <v:stroke color="#000000" miterlimit="8" joinstyle="miter"/>
                <v:imagedata o:title=""/>
                <o:lock v:ext="edit" aspectratio="f"/>
                <v:textbo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numPr>
                          <w:ilvl w:val="0"/>
                          <w:numId w:val="17"/>
                        </w:numPr>
                        <w:spacing w:line="259" w:lineRule="auto"/>
                        <w:ind w:left="720" w:leftChars="0"/>
                        <w:rPr>
                          <w:rFonts w:ascii="Times New Roman" w:hAnsi="Times New Roman" w:eastAsia="Batang" w:cs="Times New Roman"/>
                          <w:szCs w:val="20"/>
                          <w:lang w:val="en-GB" w:eastAsia="en-US" w:bidi="ar-SA"/>
                        </w:rPr>
                      </w:pPr>
                      <w:r>
                        <w:rPr>
                          <w:rFonts w:ascii="Times New Roman" w:hAnsi="Times New Roman" w:eastAsia="Batang" w:cs="Times New Roman"/>
                          <w:szCs w:val="20"/>
                          <w:lang w:val="en-GB" w:eastAsia="zh-CN" w:bidi="ar-SA"/>
                        </w:rPr>
                        <w:t>In Rel-17, for NR operation in 52.6 – 71 GHz, conclude that increased PTRS frequency density</w:t>
                      </w:r>
                      <w:r>
                        <w:rPr>
                          <w:rFonts w:ascii="Times New Roman" w:hAnsi="Times New Roman" w:eastAsia="Batang" w:cs="Times New Roman"/>
                          <w:szCs w:val="20"/>
                          <w:lang w:val="en-GB" w:eastAsia="en-US" w:bidi="ar-SA"/>
                        </w:rPr>
                        <w:t xml:space="preserve"> is not supported for CP-OFDM at least for Rel-15 PTRS pattern when the allocated number of RB &gt; 32</w:t>
                      </w:r>
                    </w:p>
                    <w:p>
                      <w:pPr>
                        <w:numPr>
                          <w:ilvl w:val="0"/>
                          <w:numId w:val="17"/>
                        </w:numPr>
                        <w:overflowPunct w:val="0"/>
                        <w:autoSpaceDE w:val="0"/>
                        <w:autoSpaceDN w:val="0"/>
                        <w:adjustRightInd w:val="0"/>
                        <w:spacing w:after="0" w:line="259" w:lineRule="auto"/>
                        <w:ind w:left="72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 xml:space="preserve">Companies are encouraged to study whether to increase PTRS frequency density for small RB allocations </w:t>
                      </w:r>
                      <w:r>
                        <w:rPr>
                          <w:rFonts w:ascii="Times New Roman" w:hAnsi="Times New Roman" w:eastAsia="Batang" w:cs="Times New Roman"/>
                          <w:szCs w:val="20"/>
                          <w:lang w:val="en-GB" w:eastAsia="en-US" w:bidi="ar-SA"/>
                        </w:rPr>
                        <w:t>for CP-OFDM for NR operation in 52.6 to 71 GHz with respect to phase noise compensation performance</w:t>
                      </w:r>
                    </w:p>
                    <w:p>
                      <w:pPr>
                        <w:numPr>
                          <w:ilvl w:val="1"/>
                          <w:numId w:val="17"/>
                        </w:numPr>
                        <w:overflowPunct w:val="0"/>
                        <w:autoSpaceDE w:val="0"/>
                        <w:autoSpaceDN w:val="0"/>
                        <w:adjustRightInd w:val="0"/>
                        <w:spacing w:after="0" w:line="259" w:lineRule="auto"/>
                        <w:ind w:left="144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CPE and ICI PN compensation</w:t>
                      </w:r>
                    </w:p>
                    <w:p>
                      <w:pPr>
                        <w:numPr>
                          <w:ilvl w:val="2"/>
                          <w:numId w:val="17"/>
                        </w:numPr>
                        <w:overflowPunct w:val="0"/>
                        <w:autoSpaceDE w:val="0"/>
                        <w:autoSpaceDN w:val="0"/>
                        <w:adjustRightInd w:val="0"/>
                        <w:spacing w:after="0" w:line="280" w:lineRule="atLeast"/>
                        <w:ind w:left="216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Note: Results for CPE compensation-only are to be reported for reference</w:t>
                      </w:r>
                    </w:p>
                    <w:p>
                      <w:pPr>
                        <w:numPr>
                          <w:ilvl w:val="1"/>
                          <w:numId w:val="17"/>
                        </w:numPr>
                        <w:overflowPunct w:val="0"/>
                        <w:autoSpaceDE w:val="0"/>
                        <w:autoSpaceDN w:val="0"/>
                        <w:adjustRightInd w:val="0"/>
                        <w:spacing w:after="0" w:line="259" w:lineRule="auto"/>
                        <w:ind w:left="144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(K = 0.5, L = 1), (K = 1, L = 1), (K = 2, L = 1),</w:t>
                      </w:r>
                    </w:p>
                    <w:p>
                      <w:pPr>
                        <w:numPr>
                          <w:ilvl w:val="2"/>
                          <w:numId w:val="17"/>
                        </w:numPr>
                        <w:overflowPunct w:val="0"/>
                        <w:autoSpaceDE w:val="0"/>
                        <w:autoSpaceDN w:val="0"/>
                        <w:adjustRightInd w:val="0"/>
                        <w:spacing w:after="0" w:line="259" w:lineRule="auto"/>
                        <w:ind w:left="216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Note: PTRS per K number of PRBs, and PTRS every L number of OFDM symbols</w:t>
                      </w:r>
                    </w:p>
                    <w:p>
                      <w:pPr>
                        <w:numPr>
                          <w:ilvl w:val="1"/>
                          <w:numId w:val="17"/>
                        </w:numPr>
                        <w:overflowPunct w:val="0"/>
                        <w:autoSpaceDE w:val="0"/>
                        <w:autoSpaceDN w:val="0"/>
                        <w:adjustRightInd w:val="0"/>
                        <w:spacing w:after="0" w:line="259" w:lineRule="auto"/>
                        <w:ind w:left="144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Number of RBs: 8, 16, 32</w:t>
                      </w:r>
                    </w:p>
                    <w:p>
                      <w:pPr>
                        <w:numPr>
                          <w:ilvl w:val="1"/>
                          <w:numId w:val="17"/>
                        </w:numPr>
                        <w:overflowPunct w:val="0"/>
                        <w:autoSpaceDE w:val="0"/>
                        <w:autoSpaceDN w:val="0"/>
                        <w:adjustRightInd w:val="0"/>
                        <w:spacing w:after="0" w:line="259" w:lineRule="auto"/>
                        <w:ind w:left="144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 xml:space="preserve">Other values of K and number of RBs are not precluded </w:t>
                      </w:r>
                    </w:p>
                    <w:p>
                      <w:pPr>
                        <w:numPr>
                          <w:ilvl w:val="0"/>
                          <w:numId w:val="17"/>
                        </w:numPr>
                        <w:overflowPunct w:val="0"/>
                        <w:autoSpaceDE w:val="0"/>
                        <w:autoSpaceDN w:val="0"/>
                        <w:adjustRightInd w:val="0"/>
                        <w:spacing w:after="0" w:line="259" w:lineRule="auto"/>
                        <w:ind w:left="720"/>
                        <w:jc w:val="both"/>
                        <w:textAlignment w:val="baseline"/>
                        <w:rPr>
                          <w:rFonts w:ascii="Times New Roman" w:hAnsi="Times New Roman" w:eastAsia="MS PMincho" w:cs="Times New Roman"/>
                          <w:szCs w:val="20"/>
                          <w:lang w:val="en-GB" w:eastAsia="ja-JP" w:bidi="ar-SA"/>
                        </w:rPr>
                      </w:pPr>
                      <w:r>
                        <w:rPr>
                          <w:rFonts w:ascii="Times New Roman" w:hAnsi="Times New Roman" w:eastAsia="MS PMincho" w:cs="Times New Roman"/>
                          <w:szCs w:val="20"/>
                          <w:lang w:val="en-GB" w:eastAsia="ja-JP" w:bidi="ar-SA"/>
                        </w:rPr>
                        <w:t xml:space="preserve">Study on other aspects of potential PTRS enhancement (e.g., decreased PTRS frequency density) is not precluded </w:t>
                      </w:r>
                    </w:p>
                    <w:p>
                      <w:pPr>
                        <w:numPr>
                          <w:ilvl w:val="255"/>
                          <w:numId w:val="0"/>
                        </w:numPr>
                        <w:spacing w:after="0" w:line="240" w:lineRule="auto"/>
                        <w:rPr>
                          <w:b/>
                          <w:bCs/>
                          <w:lang w:eastAsia="zh-CN"/>
                        </w:rPr>
                      </w:pPr>
                    </w:p>
                  </w:txbxContent>
                </v:textbox>
                <w10:wrap type="none"/>
                <w10:anchorlock/>
              </v:shape>
            </w:pict>
          </mc:Fallback>
        </mc:AlternateContent>
      </w:r>
    </w:p>
    <w:p>
      <w:pPr>
        <w:rPr>
          <w:rFonts w:hint="eastAsia" w:eastAsia="宋体"/>
          <w:sz w:val="20"/>
          <w:szCs w:val="20"/>
          <w:lang w:val="en-US" w:eastAsia="zh-CN"/>
        </w:rPr>
      </w:pPr>
      <w:r>
        <w:rPr>
          <w:rFonts w:hint="eastAsia" w:eastAsia="宋体"/>
          <w:sz w:val="20"/>
          <w:szCs w:val="20"/>
          <w:lang w:val="en-US" w:eastAsia="zh-CN"/>
        </w:rPr>
        <w:t>We consider 2 types of PN compensation method, i.e. CPE and ICI, both based on the legacy PTRS pattern in Rel-15. For RB number and K, the values in the agreement are assumed. As suggested by the moderator, for other parameters not mentioned, we strictly follow the mandatory parameters in the agreed simulation assumption.</w:t>
      </w:r>
    </w:p>
    <w:p>
      <w:r>
        <w:drawing>
          <wp:inline distT="0" distB="0" distL="114300" distR="114300">
            <wp:extent cx="2919095" cy="2188845"/>
            <wp:effectExtent l="0" t="0" r="14605"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2919095" cy="2188845"/>
                    </a:xfrm>
                    <a:prstGeom prst="rect">
                      <a:avLst/>
                    </a:prstGeom>
                    <a:noFill/>
                    <a:ln>
                      <a:noFill/>
                    </a:ln>
                  </pic:spPr>
                </pic:pic>
              </a:graphicData>
            </a:graphic>
          </wp:inline>
        </w:drawing>
      </w:r>
      <w:r>
        <w:drawing>
          <wp:inline distT="0" distB="0" distL="114300" distR="114300">
            <wp:extent cx="2888615" cy="2165985"/>
            <wp:effectExtent l="0" t="0" r="6985"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2888615" cy="2165985"/>
                    </a:xfrm>
                    <a:prstGeom prst="rect">
                      <a:avLst/>
                    </a:prstGeom>
                    <a:noFill/>
                    <a:ln>
                      <a:noFill/>
                    </a:ln>
                  </pic:spPr>
                </pic:pic>
              </a:graphicData>
            </a:graphic>
          </wp:inline>
        </w:drawing>
      </w:r>
    </w:p>
    <w:p>
      <w:pPr>
        <w:numPr>
          <w:ilvl w:val="0"/>
          <w:numId w:val="18"/>
        </w:numPr>
        <w:jc w:val="center"/>
        <w:rPr>
          <w:rFonts w:hint="default" w:eastAsia="宋体"/>
          <w:lang w:val="en-US" w:eastAsia="zh-CN"/>
        </w:rPr>
      </w:pPr>
      <w:r>
        <w:rPr>
          <w:rFonts w:hint="eastAsia" w:eastAsia="宋体"/>
          <w:lang w:val="en-US" w:eastAsia="zh-CN"/>
        </w:rPr>
        <w:t>TDL-A 5ns, 8 PRBs, 120kHz(left)/480kHz(right)</w:t>
      </w:r>
    </w:p>
    <w:p/>
    <w:p>
      <w:r>
        <w:drawing>
          <wp:inline distT="0" distB="0" distL="114300" distR="114300">
            <wp:extent cx="2924175" cy="2193290"/>
            <wp:effectExtent l="0" t="0" r="9525" b="165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2924175" cy="2193290"/>
                    </a:xfrm>
                    <a:prstGeom prst="rect">
                      <a:avLst/>
                    </a:prstGeom>
                    <a:noFill/>
                    <a:ln>
                      <a:noFill/>
                    </a:ln>
                  </pic:spPr>
                </pic:pic>
              </a:graphicData>
            </a:graphic>
          </wp:inline>
        </w:drawing>
      </w:r>
      <w:r>
        <w:drawing>
          <wp:inline distT="0" distB="0" distL="114300" distR="114300">
            <wp:extent cx="2926080" cy="2195195"/>
            <wp:effectExtent l="0" t="0" r="7620" b="146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2926080" cy="2195195"/>
                    </a:xfrm>
                    <a:prstGeom prst="rect">
                      <a:avLst/>
                    </a:prstGeom>
                    <a:noFill/>
                    <a:ln>
                      <a:noFill/>
                    </a:ln>
                  </pic:spPr>
                </pic:pic>
              </a:graphicData>
            </a:graphic>
          </wp:inline>
        </w:drawing>
      </w:r>
    </w:p>
    <w:p>
      <w:pPr>
        <w:numPr>
          <w:ilvl w:val="0"/>
          <w:numId w:val="18"/>
        </w:numPr>
        <w:jc w:val="center"/>
      </w:pPr>
      <w:r>
        <w:rPr>
          <w:rFonts w:hint="eastAsia" w:eastAsia="宋体"/>
          <w:lang w:val="en-US" w:eastAsia="zh-CN"/>
        </w:rPr>
        <w:t>TDL-A 5ns, 16 PRBs, 120kHz(left)/480kHz(right)</w:t>
      </w:r>
    </w:p>
    <w:p>
      <w:r>
        <w:drawing>
          <wp:inline distT="0" distB="0" distL="114300" distR="114300">
            <wp:extent cx="2878455" cy="2158365"/>
            <wp:effectExtent l="0" t="0" r="17145" b="133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5"/>
                    <a:stretch>
                      <a:fillRect/>
                    </a:stretch>
                  </pic:blipFill>
                  <pic:spPr>
                    <a:xfrm>
                      <a:off x="0" y="0"/>
                      <a:ext cx="2878455" cy="2158365"/>
                    </a:xfrm>
                    <a:prstGeom prst="rect">
                      <a:avLst/>
                    </a:prstGeom>
                    <a:noFill/>
                    <a:ln>
                      <a:noFill/>
                    </a:ln>
                  </pic:spPr>
                </pic:pic>
              </a:graphicData>
            </a:graphic>
          </wp:inline>
        </w:drawing>
      </w:r>
      <w:r>
        <w:drawing>
          <wp:inline distT="0" distB="0" distL="114300" distR="114300">
            <wp:extent cx="2985135" cy="2239010"/>
            <wp:effectExtent l="0" t="0" r="5715" b="889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16"/>
                    <a:stretch>
                      <a:fillRect/>
                    </a:stretch>
                  </pic:blipFill>
                  <pic:spPr>
                    <a:xfrm>
                      <a:off x="0" y="0"/>
                      <a:ext cx="2985135" cy="2239010"/>
                    </a:xfrm>
                    <a:prstGeom prst="rect">
                      <a:avLst/>
                    </a:prstGeom>
                    <a:noFill/>
                    <a:ln>
                      <a:noFill/>
                    </a:ln>
                  </pic:spPr>
                </pic:pic>
              </a:graphicData>
            </a:graphic>
          </wp:inline>
        </w:drawing>
      </w:r>
    </w:p>
    <w:p>
      <w:pPr>
        <w:numPr>
          <w:ilvl w:val="0"/>
          <w:numId w:val="18"/>
        </w:numPr>
        <w:jc w:val="center"/>
        <w:rPr>
          <w:rFonts w:hint="default" w:eastAsia="宋体"/>
          <w:lang w:val="en-US" w:eastAsia="zh-CN"/>
        </w:rPr>
      </w:pPr>
      <w:r>
        <w:rPr>
          <w:rFonts w:hint="eastAsia" w:eastAsia="宋体"/>
          <w:lang w:val="en-US" w:eastAsia="zh-CN"/>
        </w:rPr>
        <w:t>TDL-A 5ns, 32 PRBs, 120kHz(left)/480kHz(right)</w:t>
      </w:r>
    </w:p>
    <w:p>
      <w:pPr>
        <w:jc w:val="center"/>
        <w:rPr>
          <w:rFonts w:hint="default" w:eastAsia="宋体"/>
          <w:lang w:val="en-US" w:eastAsia="zh-CN"/>
        </w:rPr>
      </w:pPr>
      <w:r>
        <w:rPr>
          <w:rFonts w:hint="eastAsia" w:eastAsia="宋体"/>
          <w:lang w:val="en-US" w:eastAsia="zh-CN"/>
        </w:rPr>
        <w:t>Figure 2.2-1 Comparison of different PTRS density</w:t>
      </w:r>
    </w:p>
    <w:p>
      <w:pPr>
        <w:rPr>
          <w:rFonts w:hint="eastAsia"/>
          <w:lang w:val="en-US" w:eastAsia="zh-CN"/>
        </w:rPr>
      </w:pPr>
      <w:r>
        <w:rPr>
          <w:rFonts w:hint="eastAsia"/>
          <w:lang w:val="en-US" w:eastAsia="zh-CN"/>
        </w:rPr>
        <w:t xml:space="preserve">As shown in Figure 2.2-1, </w:t>
      </w:r>
    </w:p>
    <w:p>
      <w:pPr>
        <w:numPr>
          <w:ilvl w:val="0"/>
          <w:numId w:val="19"/>
        </w:numPr>
        <w:rPr>
          <w:rFonts w:hint="default"/>
          <w:lang w:val="en-US" w:eastAsia="zh-CN"/>
        </w:rPr>
      </w:pPr>
      <w:r>
        <w:rPr>
          <w:rFonts w:hint="eastAsia"/>
          <w:lang w:val="en-US" w:eastAsia="zh-CN"/>
        </w:rPr>
        <w:t>For ICI compensation, the performance gets better with the increasing PTRS density, the gain becomes significant (&gt;2dB) when PRB number is 8.</w:t>
      </w:r>
    </w:p>
    <w:p>
      <w:pPr>
        <w:numPr>
          <w:ilvl w:val="0"/>
          <w:numId w:val="19"/>
        </w:numPr>
        <w:rPr>
          <w:rFonts w:hint="default"/>
          <w:lang w:val="en-US" w:eastAsia="zh-CN"/>
        </w:rPr>
      </w:pPr>
      <w:r>
        <w:rPr>
          <w:rFonts w:hint="eastAsia"/>
          <w:lang w:val="en-US" w:eastAsia="zh-CN"/>
        </w:rPr>
        <w:t>For CPE compensation, the performance of different PTRS density is similar, less than 1dB gain is observed for higher density when PRB number is 8.</w:t>
      </w:r>
    </w:p>
    <w:p>
      <w:pPr>
        <w:numPr>
          <w:ilvl w:val="0"/>
          <w:numId w:val="19"/>
        </w:numPr>
        <w:rPr>
          <w:rFonts w:hint="default"/>
          <w:lang w:val="en-US" w:eastAsia="zh-CN"/>
        </w:rPr>
      </w:pPr>
      <w:r>
        <w:rPr>
          <w:rFonts w:hint="eastAsia"/>
          <w:lang w:val="en-US" w:eastAsia="zh-CN"/>
        </w:rPr>
        <w:t>When PRB number is not larger than 32, CPE compensation with lower PTRS density can achieve similar or better performance than ICI compensation with higher density.</w:t>
      </w:r>
    </w:p>
    <w:p>
      <w:pPr>
        <w:numPr>
          <w:ilvl w:val="0"/>
          <w:numId w:val="0"/>
        </w:numPr>
        <w:rPr>
          <w:rFonts w:hint="eastAsia"/>
          <w:lang w:val="en-US" w:eastAsia="zh-CN"/>
        </w:rPr>
      </w:pPr>
      <w:r>
        <w:rPr>
          <w:rFonts w:hint="eastAsia"/>
          <w:lang w:val="en-US" w:eastAsia="zh-CN"/>
        </w:rPr>
        <w:t>Therefore, we have the following observation and proposal,</w:t>
      </w:r>
    </w:p>
    <w:p>
      <w:pPr>
        <w:numPr>
          <w:ilvl w:val="0"/>
          <w:numId w:val="0"/>
        </w:numPr>
        <w:rPr>
          <w:rFonts w:hint="default"/>
          <w:b/>
          <w:bCs/>
          <w:i w:val="0"/>
          <w:iCs w:val="0"/>
          <w:lang w:val="en-US" w:eastAsia="zh-CN"/>
        </w:rPr>
      </w:pPr>
      <w:r>
        <w:rPr>
          <w:rFonts w:hint="eastAsia"/>
          <w:b/>
          <w:bCs/>
          <w:i w:val="0"/>
          <w:iCs w:val="0"/>
          <w:lang w:val="en-US" w:eastAsia="zh-CN"/>
        </w:rPr>
        <w:t>Observation 2: When PRB number is not larger than 32, CPE compensation with lower PTRS density can achieve similar or better performance than ICI compensation with higher PTRS density.</w:t>
      </w:r>
    </w:p>
    <w:p>
      <w:pPr>
        <w:numPr>
          <w:ilvl w:val="0"/>
          <w:numId w:val="20"/>
        </w:numPr>
        <w:rPr>
          <w:rFonts w:eastAsia="宋体"/>
          <w:lang w:val="en-US" w:eastAsia="zh-CN"/>
        </w:rPr>
      </w:pPr>
      <w:r>
        <w:rPr>
          <w:rFonts w:hint="eastAsia" w:eastAsia="宋体"/>
          <w:lang w:val="en-US" w:eastAsia="zh-CN"/>
        </w:rPr>
        <w:t>Block PTRS with cyclic sequence</w:t>
      </w:r>
    </w:p>
    <w:p>
      <w:pPr>
        <w:rPr>
          <w:rFonts w:hint="eastAsia"/>
          <w:lang w:val="en-US" w:eastAsia="zh-CN"/>
        </w:rPr>
      </w:pPr>
      <w:r>
        <w:rPr>
          <w:rFonts w:hint="eastAsia"/>
          <w:lang w:val="en-US" w:eastAsia="zh-CN"/>
        </w:rPr>
        <w:t>In RAN1 #104b-e meeting, the following agreement is achieved to encourage companies to evaluate the RS enhancements with the mandatory parameters in the evaluation assumption.</w:t>
      </w:r>
    </w:p>
    <w:p>
      <w:pPr>
        <w:rPr>
          <w:rFonts w:hint="default"/>
          <w:lang w:val="en-US" w:eastAsia="zh-CN"/>
        </w:rPr>
      </w:pPr>
      <w:r>
        <w:rPr>
          <w:rFonts w:ascii="Arial" w:hAnsi="Arial" w:cs="Arial"/>
          <w:color w:val="000000"/>
          <w:lang w:val="en-US" w:eastAsia="zh-CN"/>
        </w:rPr>
        <mc:AlternateContent>
          <mc:Choice Requires="wps">
            <w:drawing>
              <wp:inline distT="0" distB="0" distL="0" distR="0">
                <wp:extent cx="6088380" cy="1729105"/>
                <wp:effectExtent l="4445" t="4445" r="22225" b="19050"/>
                <wp:docPr id="50" name="Text Box 2"/>
                <wp:cNvGraphicFramePr/>
                <a:graphic xmlns:a="http://schemas.openxmlformats.org/drawingml/2006/main">
                  <a:graphicData uri="http://schemas.microsoft.com/office/word/2010/wordprocessingShape">
                    <wps:wsp>
                      <wps:cNvSpPr txBox="1">
                        <a:spLocks noChangeArrowheads="1"/>
                      </wps:cNvSpPr>
                      <wps:spPr bwMode="auto">
                        <a:xfrm>
                          <a:off x="0" y="0"/>
                          <a:ext cx="6088380" cy="1729105"/>
                        </a:xfrm>
                        <a:prstGeom prst="rect">
                          <a:avLst/>
                        </a:prstGeom>
                        <a:solidFill>
                          <a:srgbClr val="FFFFFF"/>
                        </a:solidFill>
                        <a:ln w="9525">
                          <a:solidFill>
                            <a:srgbClr val="000000"/>
                          </a:solidFill>
                          <a:miter lim="800000"/>
                        </a:ln>
                      </wps:spPr>
                      <wps:txb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numPr>
                                <w:ilvl w:val="0"/>
                                <w:numId w:val="17"/>
                              </w:numPr>
                              <w:spacing w:line="259" w:lineRule="auto"/>
                              <w:ind w:left="360" w:leftChars="0" w:hanging="360"/>
                              <w:rPr>
                                <w:rFonts w:ascii="Times" w:hAnsi="Times" w:eastAsia="Batang" w:cs="Times"/>
                                <w:szCs w:val="20"/>
                                <w:lang w:val="en-GB" w:eastAsia="zh-CN" w:bidi="ar-SA"/>
                              </w:rPr>
                            </w:pPr>
                            <w:r>
                              <w:rPr>
                                <w:rFonts w:ascii="Times" w:hAnsi="Times" w:eastAsia="Batang" w:cs="Times"/>
                                <w:szCs w:val="20"/>
                                <w:lang w:val="en-GB" w:eastAsia="zh-CN" w:bidi="ar-SA"/>
                              </w:rPr>
                              <w:t>It is recommended to strictly follow and evaluate at least based on assumptions which are not optional in previous agreed LLS assumptions for study of potential RS enhancements for NR operation in 52.6 to 71 GHz.</w:t>
                            </w:r>
                          </w:p>
                          <w:p>
                            <w:pPr>
                              <w:numPr>
                                <w:ilvl w:val="1"/>
                                <w:numId w:val="17"/>
                              </w:numPr>
                              <w:spacing w:line="259" w:lineRule="auto"/>
                              <w:ind w:left="1080" w:leftChars="0" w:hanging="360"/>
                              <w:rPr>
                                <w:rFonts w:ascii="Times" w:hAnsi="Times" w:eastAsia="Batang" w:cs="Times"/>
                                <w:szCs w:val="20"/>
                                <w:lang w:val="en-GB" w:eastAsia="zh-CN" w:bidi="ar-SA"/>
                              </w:rPr>
                            </w:pPr>
                            <w:r>
                              <w:rPr>
                                <w:rFonts w:ascii="Times" w:hAnsi="Times" w:eastAsia="Batang" w:cs="Times"/>
                                <w:szCs w:val="20"/>
                                <w:lang w:val="en-GB" w:eastAsia="zh-CN" w:bidi="ar-SA"/>
                              </w:rPr>
                              <w:t>Note: evaluation based on optional model/scenario/parameter values are not precluded from being considered for discussion and decisions</w:t>
                            </w:r>
                          </w:p>
                          <w:p>
                            <w:pPr>
                              <w:numPr>
                                <w:ilvl w:val="0"/>
                                <w:numId w:val="17"/>
                              </w:numPr>
                              <w:overflowPunct w:val="0"/>
                              <w:autoSpaceDE w:val="0"/>
                              <w:autoSpaceDN w:val="0"/>
                              <w:adjustRightInd w:val="0"/>
                              <w:spacing w:after="0" w:line="259" w:lineRule="auto"/>
                              <w:ind w:left="360" w:hanging="360"/>
                              <w:jc w:val="both"/>
                              <w:textAlignment w:val="baseline"/>
                              <w:rPr>
                                <w:rFonts w:ascii="Times" w:hAnsi="Times" w:eastAsia="MS PMincho" w:cs="Times"/>
                                <w:szCs w:val="20"/>
                                <w:lang w:val="en-GB" w:eastAsia="ja-JP" w:bidi="ar-SA"/>
                              </w:rPr>
                            </w:pPr>
                            <w:r>
                              <w:rPr>
                                <w:rFonts w:ascii="Times" w:hAnsi="Times" w:eastAsia="MS PMincho" w:cs="Times"/>
                                <w:szCs w:val="20"/>
                                <w:lang w:val="en-GB" w:eastAsia="ja-JP" w:bidi="ar-SA"/>
                              </w:rPr>
                              <w:t>Companies are encouraged to report results (along with previously reported aspects and cubic metric for power boosting aspects) at least for SINR in dB achieving PDSCH/PUSCH BLER of 10% in a numerical and tabular way (e.g. adapted from LLS result report template in SI).</w:t>
                            </w:r>
                          </w:p>
                          <w:p>
                            <w:pPr>
                              <w:numPr>
                                <w:ilvl w:val="1"/>
                                <w:numId w:val="17"/>
                              </w:numPr>
                              <w:overflowPunct w:val="0"/>
                              <w:autoSpaceDE w:val="0"/>
                              <w:autoSpaceDN w:val="0"/>
                              <w:adjustRightInd w:val="0"/>
                              <w:spacing w:after="0" w:line="259" w:lineRule="auto"/>
                              <w:ind w:left="1080" w:hanging="360"/>
                              <w:jc w:val="both"/>
                              <w:textAlignment w:val="baseline"/>
                              <w:rPr>
                                <w:rFonts w:ascii="Times" w:hAnsi="Times" w:eastAsia="MS PMincho" w:cs="Times"/>
                                <w:szCs w:val="20"/>
                                <w:lang w:val="en-GB" w:eastAsia="ja-JP" w:bidi="ar-SA"/>
                              </w:rPr>
                            </w:pPr>
                            <w:r>
                              <w:rPr>
                                <w:rFonts w:ascii="Times" w:hAnsi="Times" w:eastAsia="MS PMincho" w:cs="Times"/>
                                <w:szCs w:val="20"/>
                                <w:lang w:val="en-GB" w:eastAsia="ja-JP" w:bidi="ar-SA"/>
                              </w:rPr>
                              <w:t xml:space="preserve">Note: other ways of presentation of results (e.g. BLER curve) is not precluded </w:t>
                            </w:r>
                          </w:p>
                          <w:p>
                            <w:pPr>
                              <w:numPr>
                                <w:ilvl w:val="255"/>
                                <w:numId w:val="0"/>
                              </w:numPr>
                              <w:spacing w:after="0" w:line="240" w:lineRule="auto"/>
                              <w:rPr>
                                <w:b/>
                                <w:bCs/>
                                <w:lang w:eastAsia="zh-CN"/>
                              </w:rPr>
                            </w:pPr>
                          </w:p>
                        </w:txbxContent>
                      </wps:txbx>
                      <wps:bodyPr rot="0" vert="horz" wrap="square" lIns="91440" tIns="45720" rIns="91440" bIns="45720" anchor="t" anchorCtr="0">
                        <a:noAutofit/>
                      </wps:bodyPr>
                    </wps:wsp>
                  </a:graphicData>
                </a:graphic>
              </wp:inline>
            </w:drawing>
          </mc:Choice>
          <mc:Fallback>
            <w:pict>
              <v:shape id="Text Box 2" o:spid="_x0000_s1026" o:spt="202" type="#_x0000_t202" style="height:136.15pt;width:479.4pt;" fillcolor="#FFFFFF" filled="t" stroked="t" coordsize="21600,21600" o:gfxdata="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BGWRX9YAAAAFAQAADwAAAAAAAAABACAA&#10;AAAiAAAAZHJzL2Rvd25yZXYueG1sUEsBAhQAFAAAAAgAh07iQEDfVKIPAgAALgQAAA4AAAAAAAAA&#10;AQAgAAAAJQEAAGRycy9lMm9Eb2MueG1sUEsFBgAAAAAGAAYAWQEAAKYFAAAAAA==&#10;">
                <v:fill on="t" focussize="0,0"/>
                <v:stroke color="#000000" miterlimit="8" joinstyle="miter"/>
                <v:imagedata o:title=""/>
                <o:lock v:ext="edit" aspectratio="f"/>
                <v:textbox>
                  <w:txbxContent>
                    <w:p>
                      <w:pPr>
                        <w:rPr>
                          <w:szCs w:val="22"/>
                          <w:highlight w:val="green"/>
                          <w:lang w:val="en-US" w:eastAsia="en-GB"/>
                        </w:rPr>
                      </w:pPr>
                      <w:r>
                        <w:rPr>
                          <w:highlight w:val="green"/>
                          <w:lang w:val="en-US"/>
                        </w:rPr>
                        <w:t>Agreement</w:t>
                      </w:r>
                      <w:r>
                        <w:rPr>
                          <w:rFonts w:hint="eastAsia" w:eastAsia="宋体"/>
                          <w:highlight w:val="green"/>
                          <w:lang w:val="en-US" w:eastAsia="zh-CN"/>
                        </w:rPr>
                        <w:t xml:space="preserve"> in 104b-e</w:t>
                      </w:r>
                      <w:r>
                        <w:rPr>
                          <w:highlight w:val="green"/>
                          <w:lang w:val="en-US"/>
                        </w:rPr>
                        <w:t>:</w:t>
                      </w:r>
                    </w:p>
                    <w:p>
                      <w:pPr>
                        <w:numPr>
                          <w:ilvl w:val="0"/>
                          <w:numId w:val="17"/>
                        </w:numPr>
                        <w:spacing w:line="259" w:lineRule="auto"/>
                        <w:ind w:left="360" w:leftChars="0" w:hanging="360"/>
                        <w:rPr>
                          <w:rFonts w:ascii="Times" w:hAnsi="Times" w:eastAsia="Batang" w:cs="Times"/>
                          <w:szCs w:val="20"/>
                          <w:lang w:val="en-GB" w:eastAsia="zh-CN" w:bidi="ar-SA"/>
                        </w:rPr>
                      </w:pPr>
                      <w:r>
                        <w:rPr>
                          <w:rFonts w:ascii="Times" w:hAnsi="Times" w:eastAsia="Batang" w:cs="Times"/>
                          <w:szCs w:val="20"/>
                          <w:lang w:val="en-GB" w:eastAsia="zh-CN" w:bidi="ar-SA"/>
                        </w:rPr>
                        <w:t>It is recommended to strictly follow and evaluate at least based on assumptions which are not optional in previous agreed LLS assumptions for study of potential RS enhancements for NR operation in 52.6 to 71 GHz.</w:t>
                      </w:r>
                    </w:p>
                    <w:p>
                      <w:pPr>
                        <w:numPr>
                          <w:ilvl w:val="1"/>
                          <w:numId w:val="17"/>
                        </w:numPr>
                        <w:spacing w:line="259" w:lineRule="auto"/>
                        <w:ind w:left="1080" w:leftChars="0" w:hanging="360"/>
                        <w:rPr>
                          <w:rFonts w:ascii="Times" w:hAnsi="Times" w:eastAsia="Batang" w:cs="Times"/>
                          <w:szCs w:val="20"/>
                          <w:lang w:val="en-GB" w:eastAsia="zh-CN" w:bidi="ar-SA"/>
                        </w:rPr>
                      </w:pPr>
                      <w:r>
                        <w:rPr>
                          <w:rFonts w:ascii="Times" w:hAnsi="Times" w:eastAsia="Batang" w:cs="Times"/>
                          <w:szCs w:val="20"/>
                          <w:lang w:val="en-GB" w:eastAsia="zh-CN" w:bidi="ar-SA"/>
                        </w:rPr>
                        <w:t>Note: evaluation based on optional model/scenario/parameter values are not precluded from being considered for discussion and decisions</w:t>
                      </w:r>
                    </w:p>
                    <w:p>
                      <w:pPr>
                        <w:numPr>
                          <w:ilvl w:val="0"/>
                          <w:numId w:val="17"/>
                        </w:numPr>
                        <w:overflowPunct w:val="0"/>
                        <w:autoSpaceDE w:val="0"/>
                        <w:autoSpaceDN w:val="0"/>
                        <w:adjustRightInd w:val="0"/>
                        <w:spacing w:after="0" w:line="259" w:lineRule="auto"/>
                        <w:ind w:left="360" w:hanging="360"/>
                        <w:jc w:val="both"/>
                        <w:textAlignment w:val="baseline"/>
                        <w:rPr>
                          <w:rFonts w:ascii="Times" w:hAnsi="Times" w:eastAsia="MS PMincho" w:cs="Times"/>
                          <w:szCs w:val="20"/>
                          <w:lang w:val="en-GB" w:eastAsia="ja-JP" w:bidi="ar-SA"/>
                        </w:rPr>
                      </w:pPr>
                      <w:r>
                        <w:rPr>
                          <w:rFonts w:ascii="Times" w:hAnsi="Times" w:eastAsia="MS PMincho" w:cs="Times"/>
                          <w:szCs w:val="20"/>
                          <w:lang w:val="en-GB" w:eastAsia="ja-JP" w:bidi="ar-SA"/>
                        </w:rPr>
                        <w:t>Companies are encouraged to report results (along with previously reported aspects and cubic metric for power boosting aspects) at least for SINR in dB achieving PDSCH/PUSCH BLER of 10% in a numerical and tabular way (e.g. adapted from LLS result report template in SI).</w:t>
                      </w:r>
                    </w:p>
                    <w:p>
                      <w:pPr>
                        <w:numPr>
                          <w:ilvl w:val="1"/>
                          <w:numId w:val="17"/>
                        </w:numPr>
                        <w:overflowPunct w:val="0"/>
                        <w:autoSpaceDE w:val="0"/>
                        <w:autoSpaceDN w:val="0"/>
                        <w:adjustRightInd w:val="0"/>
                        <w:spacing w:after="0" w:line="259" w:lineRule="auto"/>
                        <w:ind w:left="1080" w:hanging="360"/>
                        <w:jc w:val="both"/>
                        <w:textAlignment w:val="baseline"/>
                        <w:rPr>
                          <w:rFonts w:ascii="Times" w:hAnsi="Times" w:eastAsia="MS PMincho" w:cs="Times"/>
                          <w:szCs w:val="20"/>
                          <w:lang w:val="en-GB" w:eastAsia="ja-JP" w:bidi="ar-SA"/>
                        </w:rPr>
                      </w:pPr>
                      <w:r>
                        <w:rPr>
                          <w:rFonts w:ascii="Times" w:hAnsi="Times" w:eastAsia="MS PMincho" w:cs="Times"/>
                          <w:szCs w:val="20"/>
                          <w:lang w:val="en-GB" w:eastAsia="ja-JP" w:bidi="ar-SA"/>
                        </w:rPr>
                        <w:t xml:space="preserve">Note: other ways of presentation of results (e.g. BLER curve) is not precluded </w:t>
                      </w:r>
                    </w:p>
                    <w:p>
                      <w:pPr>
                        <w:numPr>
                          <w:ilvl w:val="255"/>
                          <w:numId w:val="0"/>
                        </w:numPr>
                        <w:spacing w:after="0" w:line="240" w:lineRule="auto"/>
                        <w:rPr>
                          <w:b/>
                          <w:bCs/>
                          <w:lang w:eastAsia="zh-CN"/>
                        </w:rPr>
                      </w:pPr>
                    </w:p>
                  </w:txbxContent>
                </v:textbox>
                <w10:wrap type="none"/>
                <w10:anchorlock/>
              </v:shape>
            </w:pict>
          </mc:Fallback>
        </mc:AlternateContent>
      </w:r>
    </w:p>
    <w:p>
      <w:pPr>
        <w:rPr>
          <w:rFonts w:hint="eastAsia"/>
          <w:lang w:val="en-US" w:eastAsia="zh-CN"/>
        </w:rPr>
      </w:pPr>
      <w:r>
        <w:rPr>
          <w:rFonts w:hint="eastAsia"/>
          <w:lang w:val="en-US" w:eastAsia="zh-CN"/>
        </w:rPr>
        <w:t xml:space="preserve">In this chapter, we further evaluate the PTRS enhancement for CP-OFDM, especially the block PTRS with cyclic sequence, with the mandatory parameters from agreed assumption. </w:t>
      </w:r>
    </w:p>
    <w:p>
      <w:pPr>
        <w:rPr>
          <w:rFonts w:hint="default"/>
          <w:lang w:val="en-US" w:eastAsia="zh-CN"/>
        </w:rPr>
      </w:pPr>
      <w:r>
        <w:rPr>
          <w:rFonts w:hint="eastAsia"/>
          <w:lang w:val="en-US" w:eastAsia="zh-CN"/>
        </w:rPr>
        <w:t>Block PTRS with cyclic sequence is discussed in the last meeting, here we consider a</w:t>
      </w:r>
      <w:r>
        <w:rPr>
          <w:lang w:eastAsia="zh-CN"/>
        </w:rPr>
        <w:t xml:space="preserve"> </w:t>
      </w:r>
      <w:r>
        <w:rPr>
          <w:rFonts w:hint="eastAsia"/>
          <w:lang w:val="en-US" w:eastAsia="zh-CN"/>
        </w:rPr>
        <w:t xml:space="preserve">block </w:t>
      </w:r>
      <w:r>
        <w:rPr>
          <w:lang w:eastAsia="zh-CN"/>
        </w:rPr>
        <w:t>PTRS sequence</w:t>
      </w:r>
      <w:r>
        <w:rPr>
          <w:rFonts w:hint="eastAsia"/>
          <w:lang w:val="en-US" w:eastAsia="zh-CN"/>
        </w:rPr>
        <w:t xml:space="preserve"> introduced in [6]</w:t>
      </w:r>
      <w:r>
        <w:rPr>
          <w:lang w:eastAsia="zh-CN"/>
        </w:rPr>
        <w:t xml:space="preserve">, which is composed of a base sequence and a circular sequence, as illustrated in </w:t>
      </w:r>
      <w:r>
        <w:rPr>
          <w:rFonts w:hint="eastAsia"/>
          <w:lang w:val="en-US" w:eastAsia="zh-CN"/>
        </w:rPr>
        <w:t>Figure 2.2-2</w:t>
      </w:r>
      <w:r>
        <w:rPr>
          <w:lang w:eastAsia="zh-CN"/>
        </w:rPr>
        <w:t xml:space="preserve">. The length of base sequence and circular sequence is decided by the number of significant ICI coefficients. The base sequence </w:t>
      </w:r>
      <m:oMath>
        <m:sSub>
          <m:sSubPr>
            <m:ctrlPr>
              <w:rPr>
                <w:rFonts w:ascii="Cambria Math" w:hAnsi="Cambria Math"/>
                <w:lang w:eastAsia="zh-CN"/>
              </w:rPr>
            </m:ctrlPr>
          </m:sSubPr>
          <m:e>
            <m:r>
              <m:rPr>
                <m:sty m:val="p"/>
              </m:rPr>
              <w:rPr>
                <w:rFonts w:ascii="Cambria Math" w:hAnsi="Cambria Math"/>
                <w:lang w:eastAsia="zh-CN"/>
              </w:rPr>
              <m:t>S</m:t>
            </m:r>
            <m:ctrlPr>
              <w:rPr>
                <w:rFonts w:ascii="Cambria Math" w:hAnsi="Cambria Math"/>
                <w:lang w:eastAsia="zh-CN"/>
              </w:rPr>
            </m:ctrlPr>
          </m:e>
          <m:sub>
            <m:r>
              <m:rPr>
                <m:sty m:val="p"/>
              </m:rPr>
              <w:rPr>
                <w:rFonts w:ascii="Cambria Math" w:hAnsi="Cambria Math"/>
                <w:lang w:eastAsia="zh-CN"/>
              </w:rPr>
              <m:t>i</m:t>
            </m:r>
            <m:ctrlPr>
              <w:rPr>
                <w:rFonts w:ascii="Cambria Math" w:hAnsi="Cambria Math"/>
                <w:lang w:eastAsia="zh-CN"/>
              </w:rPr>
            </m:ctrlPr>
          </m:sub>
        </m:sSub>
        <m:r>
          <m:rPr>
            <m:sty m:val="p"/>
          </m:rPr>
          <w:rPr>
            <w:rFonts w:ascii="Cambria Math" w:hAnsi="Cambria Math"/>
            <w:lang w:eastAsia="zh-CN"/>
          </w:rPr>
          <m:t>, i=1,…,N</m:t>
        </m:r>
      </m:oMath>
      <w:r>
        <w:rPr>
          <w:lang w:eastAsia="zh-CN"/>
        </w:rPr>
        <w:t xml:space="preserve"> has a constant modulus after IFFT operation to provide a better estimation on ICI coefficients. ZC sequence can be a candidate for the base sequence. The circular sequence includes the head circular part and the tail circular part, wherein the head circular part is composed of the tail of the base sequence, and the tail circular part is composed of the head of the base sequence. </w:t>
      </w:r>
      <w:r>
        <w:rPr>
          <w:rFonts w:hint="eastAsia"/>
          <w:lang w:val="en-US" w:eastAsia="zh-CN"/>
        </w:rPr>
        <w:t>In the simulation, the length of circular sequence is assumed to be (tap number+1)/2.</w:t>
      </w:r>
    </w:p>
    <w:p>
      <w:pPr>
        <w:rPr>
          <w:lang w:val="en-US" w:eastAsia="zh-CN"/>
        </w:rPr>
      </w:pPr>
    </w:p>
    <w:p>
      <w:pPr>
        <w:jc w:val="center"/>
        <w:rPr>
          <w:lang w:eastAsia="zh-CN"/>
        </w:rPr>
      </w:pPr>
      <w:r>
        <w:rPr>
          <w:lang w:val="en-US" w:eastAsia="zh-CN"/>
        </w:rPr>
        <w:drawing>
          <wp:inline distT="0" distB="0" distL="0" distR="0">
            <wp:extent cx="4848860" cy="1158875"/>
            <wp:effectExtent l="0" t="0" r="8890" b="317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7"/>
                    <a:stretch>
                      <a:fillRect/>
                    </a:stretch>
                  </pic:blipFill>
                  <pic:spPr>
                    <a:xfrm>
                      <a:off x="0" y="0"/>
                      <a:ext cx="4849200" cy="1159200"/>
                    </a:xfrm>
                    <a:prstGeom prst="rect">
                      <a:avLst/>
                    </a:prstGeom>
                  </pic:spPr>
                </pic:pic>
              </a:graphicData>
            </a:graphic>
          </wp:inline>
        </w:drawing>
      </w:r>
    </w:p>
    <w:p>
      <w:pPr>
        <w:jc w:val="center"/>
        <w:rPr>
          <w:rFonts w:hint="eastAsia"/>
          <w:lang w:val="en-US" w:eastAsia="zh-CN"/>
        </w:rPr>
      </w:pPr>
      <w:r>
        <w:rPr>
          <w:bCs/>
          <w:lang w:eastAsia="zh-CN"/>
        </w:rPr>
        <w:t xml:space="preserve">Figure </w:t>
      </w:r>
      <w:r>
        <w:rPr>
          <w:rFonts w:hint="eastAsia"/>
          <w:bCs/>
          <w:lang w:val="en-US" w:eastAsia="zh-CN"/>
        </w:rPr>
        <w:t>2.2-2</w:t>
      </w:r>
      <w:r>
        <w:rPr>
          <w:bCs/>
          <w:lang w:eastAsia="zh-CN"/>
        </w:rPr>
        <w:t>.</w:t>
      </w:r>
      <w:r>
        <w:rPr>
          <w:lang w:eastAsia="zh-CN"/>
        </w:rPr>
        <w:t xml:space="preserve"> </w:t>
      </w:r>
      <w:r>
        <w:rPr>
          <w:rFonts w:hint="eastAsia"/>
          <w:lang w:val="en-US" w:eastAsia="zh-CN"/>
        </w:rPr>
        <w:t>Block</w:t>
      </w:r>
      <w:r>
        <w:rPr>
          <w:lang w:eastAsia="zh-CN"/>
        </w:rPr>
        <w:t xml:space="preserve"> PTRS</w:t>
      </w:r>
      <w:r>
        <w:rPr>
          <w:rFonts w:hint="eastAsia"/>
          <w:lang w:val="en-US" w:eastAsia="zh-CN"/>
        </w:rPr>
        <w:t xml:space="preserve"> with cyclic ZC sequence[6]</w:t>
      </w:r>
    </w:p>
    <w:p>
      <w:pPr>
        <w:jc w:val="both"/>
        <w:rPr>
          <w:rFonts w:hint="default"/>
          <w:lang w:val="en-US" w:eastAsia="zh-CN"/>
        </w:rPr>
      </w:pPr>
      <w:r>
        <w:rPr>
          <w:rFonts w:hint="eastAsia"/>
          <w:lang w:val="en-US" w:eastAsia="zh-CN"/>
        </w:rPr>
        <w:t>As suggested by companies that support block PTRS, we further evaluate different combinations of the block PTRS configuration, such as ICI estimation filter tap number, block number and sequence length for each block. To achieve a relatively fair comparison, we assume the total number of PTRS REs is the same for both legacy PTRS and block PTRS, i.e.128 PTRS REs. The number of PRB is 256 and 64QAM with MCS 22 is assumed.</w:t>
      </w:r>
    </w:p>
    <w:p>
      <w:r>
        <w:drawing>
          <wp:inline distT="0" distB="0" distL="114300" distR="114300">
            <wp:extent cx="2578735" cy="1935480"/>
            <wp:effectExtent l="0" t="0" r="12065" b="7620"/>
            <wp:docPr id="5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6"/>
                    <pic:cNvPicPr>
                      <a:picLocks noChangeAspect="1"/>
                    </pic:cNvPicPr>
                  </pic:nvPicPr>
                  <pic:blipFill>
                    <a:blip r:embed="rId18"/>
                    <a:stretch>
                      <a:fillRect/>
                    </a:stretch>
                  </pic:blipFill>
                  <pic:spPr>
                    <a:xfrm>
                      <a:off x="0" y="0"/>
                      <a:ext cx="2578735" cy="1935480"/>
                    </a:xfrm>
                    <a:prstGeom prst="rect">
                      <a:avLst/>
                    </a:prstGeom>
                    <a:noFill/>
                    <a:ln>
                      <a:noFill/>
                    </a:ln>
                  </pic:spPr>
                </pic:pic>
              </a:graphicData>
            </a:graphic>
          </wp:inline>
        </w:drawing>
      </w:r>
      <w:r>
        <w:rPr>
          <w:rFonts w:hint="eastAsia" w:eastAsia="宋体"/>
          <w:lang w:val="en-US" w:eastAsia="zh-CN"/>
        </w:rPr>
        <w:t xml:space="preserve">                </w:t>
      </w:r>
      <w:r>
        <w:drawing>
          <wp:inline distT="0" distB="0" distL="114300" distR="114300">
            <wp:extent cx="2603500" cy="1953260"/>
            <wp:effectExtent l="0" t="0" r="6350" b="8890"/>
            <wp:docPr id="5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
                    <pic:cNvPicPr>
                      <a:picLocks noChangeAspect="1"/>
                    </pic:cNvPicPr>
                  </pic:nvPicPr>
                  <pic:blipFill>
                    <a:blip r:embed="rId19"/>
                    <a:stretch>
                      <a:fillRect/>
                    </a:stretch>
                  </pic:blipFill>
                  <pic:spPr>
                    <a:xfrm>
                      <a:off x="0" y="0"/>
                      <a:ext cx="2603500" cy="1953260"/>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Figure 2.2-3 Comparison of block PTRS and legacy PTRS with different tap configuration</w:t>
      </w:r>
    </w:p>
    <w:p>
      <w:pPr>
        <w:jc w:val="both"/>
      </w:pPr>
      <w:r>
        <w:drawing>
          <wp:inline distT="0" distB="0" distL="114300" distR="114300">
            <wp:extent cx="2665730" cy="2000250"/>
            <wp:effectExtent l="0" t="0" r="1270" b="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pic:cNvPicPr>
                  </pic:nvPicPr>
                  <pic:blipFill>
                    <a:blip r:embed="rId20"/>
                    <a:stretch>
                      <a:fillRect/>
                    </a:stretch>
                  </pic:blipFill>
                  <pic:spPr>
                    <a:xfrm>
                      <a:off x="0" y="0"/>
                      <a:ext cx="2665730" cy="2000250"/>
                    </a:xfrm>
                    <a:prstGeom prst="rect">
                      <a:avLst/>
                    </a:prstGeom>
                    <a:noFill/>
                    <a:ln>
                      <a:noFill/>
                    </a:ln>
                  </pic:spPr>
                </pic:pic>
              </a:graphicData>
            </a:graphic>
          </wp:inline>
        </w:drawing>
      </w:r>
      <w:r>
        <w:rPr>
          <w:rFonts w:hint="eastAsia" w:eastAsiaTheme="minorEastAsia"/>
          <w:lang w:eastAsia="zh-CN"/>
        </w:rPr>
        <w:t xml:space="preserve">                </w:t>
      </w:r>
      <w:r>
        <w:drawing>
          <wp:inline distT="0" distB="0" distL="114300" distR="114300">
            <wp:extent cx="2710180" cy="2033270"/>
            <wp:effectExtent l="0" t="0" r="13970" b="5080"/>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pic:cNvPicPr>
                      <a:picLocks noChangeAspect="1"/>
                    </pic:cNvPicPr>
                  </pic:nvPicPr>
                  <pic:blipFill>
                    <a:blip r:embed="rId21"/>
                    <a:stretch>
                      <a:fillRect/>
                    </a:stretch>
                  </pic:blipFill>
                  <pic:spPr>
                    <a:xfrm>
                      <a:off x="0" y="0"/>
                      <a:ext cx="2710180" cy="2033270"/>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Figure 2.2-4 Comparison of block PTRS and legacy PTRS with different block number</w:t>
      </w:r>
    </w:p>
    <w:p/>
    <w:p>
      <w:pPr>
        <w:jc w:val="both"/>
        <w:rPr>
          <w:rFonts w:eastAsia="宋体"/>
          <w:lang w:val="en-US" w:eastAsia="zh-CN"/>
        </w:rPr>
      </w:pPr>
      <w:r>
        <w:rPr>
          <w:rFonts w:hint="eastAsia" w:eastAsia="宋体"/>
          <w:lang w:val="en-US" w:eastAsia="zh-CN"/>
        </w:rPr>
        <w:t>As illustrated in Figure 2.2-3 and 2.2-4, for 120kHz and 480kHz SCS with MCS 22, the performance of ICI compensation based on legacy PTRS is always better than block PTRS.</w:t>
      </w:r>
    </w:p>
    <w:p>
      <w:pPr>
        <w:rPr>
          <w:b/>
          <w:bCs/>
          <w:lang w:val="en-US" w:eastAsia="zh-CN"/>
        </w:rPr>
      </w:pPr>
      <w:r>
        <w:rPr>
          <w:rFonts w:hint="eastAsia"/>
          <w:b/>
          <w:bCs/>
          <w:lang w:val="en-US" w:eastAsia="zh-CN"/>
        </w:rPr>
        <w:t>Observation 3: Block PTRS with cyclic sequence cannot provide performance gain compared with legacy PTRS.</w:t>
      </w:r>
    </w:p>
    <w:p>
      <w:pPr>
        <w:numPr>
          <w:ilvl w:val="0"/>
          <w:numId w:val="21"/>
        </w:numPr>
        <w:rPr>
          <w:lang w:val="en-US" w:eastAsia="zh-CN"/>
        </w:rPr>
      </w:pPr>
      <w:r>
        <w:rPr>
          <w:rFonts w:hint="eastAsia"/>
          <w:lang w:val="en-US" w:eastAsia="zh-CN"/>
        </w:rPr>
        <w:t>Block PTRS with power boosting</w:t>
      </w:r>
    </w:p>
    <w:p>
      <w:pPr>
        <w:rPr>
          <w:lang w:val="en-US" w:eastAsia="zh-CN"/>
        </w:rPr>
      </w:pPr>
      <w:r>
        <w:rPr>
          <w:rFonts w:hint="eastAsia"/>
          <w:lang w:val="en-US" w:eastAsia="zh-CN"/>
        </w:rPr>
        <w:t xml:space="preserve">Power boosting for PTRS is introduced in Rel-15 to further improve the PN estimation accuracy. However, when ICI compensation is required to mitigate the severe phase noise impact in above 52.6GHz, some companies mentioned that power boosting may have limited benefit for legacy PTRS since the adjacent REs of PTRS are occupied by data. </w:t>
      </w:r>
    </w:p>
    <w:p>
      <w:pPr>
        <w:rPr>
          <w:lang w:eastAsia="zh-CN"/>
        </w:rPr>
      </w:pPr>
      <w:r>
        <w:rPr>
          <w:lang w:eastAsia="zh-CN"/>
        </w:rPr>
        <w:t>The formula for ICI estimation is shown in equation (1), and</w:t>
      </w:r>
      <w:r>
        <w:rPr>
          <w:i/>
          <w:lang w:eastAsia="zh-CN"/>
        </w:rPr>
        <w:t xml:space="preserve"> </w:t>
      </w:r>
      <m:oMath>
        <m:sSub>
          <m:sSubPr>
            <m:ctrlPr>
              <w:rPr>
                <w:rFonts w:ascii="Cambria Math" w:hAnsi="Cambria Math"/>
                <w:i/>
                <w:lang w:eastAsia="zh-CN"/>
              </w:rPr>
            </m:ctrlPr>
          </m:sSubPr>
          <m:e>
            <m:r>
              <w:rPr>
                <w:rFonts w:ascii="Cambria Math" w:hAnsi="Cambria Math"/>
                <w:lang w:eastAsia="zh-CN"/>
              </w:rPr>
              <m:t>p</m:t>
            </m:r>
            <m:ctrlPr>
              <w:rPr>
                <w:rFonts w:ascii="Cambria Math" w:hAnsi="Cambria Math"/>
                <w:i/>
                <w:lang w:eastAsia="zh-CN"/>
              </w:rPr>
            </m:ctrlPr>
          </m:e>
          <m:sub>
            <m:r>
              <w:rPr>
                <w:rFonts w:ascii="Cambria Math" w:hAnsi="Cambria Math"/>
                <w:lang w:eastAsia="zh-CN"/>
              </w:rPr>
              <m:t>i</m:t>
            </m:r>
            <m:ctrlPr>
              <w:rPr>
                <w:rFonts w:ascii="Cambria Math" w:hAnsi="Cambria Math"/>
                <w:i/>
                <w:lang w:eastAsia="zh-CN"/>
              </w:rPr>
            </m:ctrlPr>
          </m:sub>
        </m:sSub>
        <m:r>
          <w:rPr>
            <w:rFonts w:ascii="Cambria Math" w:hAnsi="Cambria Math"/>
            <w:lang w:eastAsia="zh-CN"/>
          </w:rPr>
          <m:t xml:space="preserve"> (i=1,2,3,…</m:t>
        </m:r>
        <m:r>
          <m:rPr>
            <m:sty m:val="p"/>
          </m:rPr>
          <w:rPr>
            <w:rFonts w:ascii="Cambria Math" w:hAnsi="Cambria Math"/>
            <w:lang w:eastAsia="zh-CN"/>
          </w:rPr>
          <m:t>)</m:t>
        </m:r>
      </m:oMath>
      <w:r>
        <w:rPr>
          <w:rFonts w:hint="eastAsia"/>
          <w:i/>
          <w:lang w:eastAsia="zh-CN"/>
        </w:rPr>
        <w:t xml:space="preserve"> </w:t>
      </w:r>
      <w:r>
        <w:rPr>
          <w:lang w:eastAsia="zh-CN"/>
        </w:rPr>
        <w:t xml:space="preserve">is the subcarrier index of  PTRS, </w:t>
      </w:r>
      <m:oMath>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j</m:t>
            </m:r>
            <m:ctrlPr>
              <w:rPr>
                <w:rFonts w:ascii="Cambria Math" w:hAnsi="Cambria Math"/>
                <w:i/>
                <w:lang w:eastAsia="zh-CN"/>
              </w:rPr>
            </m:ctrlPr>
          </m:sub>
        </m:sSub>
      </m:oMath>
      <w:r>
        <w:rPr>
          <w:rFonts w:hint="eastAsia"/>
          <w:lang w:eastAsia="zh-CN"/>
        </w:rPr>
        <w:t xml:space="preserve"> </w:t>
      </w:r>
      <w:r>
        <w:rPr>
          <w:lang w:eastAsia="zh-CN"/>
        </w:rPr>
        <w:t xml:space="preserve">is the received signal on subcarrier j, </w:t>
      </w:r>
      <m:oMath>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k</m:t>
            </m:r>
            <m:ctrlPr>
              <w:rPr>
                <w:rFonts w:ascii="Cambria Math" w:hAnsi="Cambria Math"/>
                <w:i/>
                <w:lang w:eastAsia="zh-CN"/>
              </w:rPr>
            </m:ctrlPr>
          </m:sub>
        </m:sSub>
        <m:r>
          <w:rPr>
            <w:rFonts w:ascii="Cambria Math" w:hAnsi="Cambria Math"/>
            <w:lang w:eastAsia="zh-CN"/>
          </w:rPr>
          <m:t>(k=-2,…,2)</m:t>
        </m:r>
      </m:oMath>
      <w:r>
        <w:rPr>
          <w:rFonts w:hint="eastAsia"/>
          <w:lang w:eastAsia="zh-CN"/>
        </w:rPr>
        <w:t xml:space="preserve"> </w:t>
      </w:r>
      <w:r>
        <w:rPr>
          <w:lang w:eastAsia="zh-CN"/>
        </w:rPr>
        <w:t xml:space="preserve">is the ICI coefficient, and </w:t>
      </w:r>
      <m:oMath>
        <m:sSub>
          <m:sSubPr>
            <m:ctrlPr>
              <w:rPr>
                <w:rFonts w:ascii="Cambria Math" w:hAnsi="Cambria Math"/>
                <w:i/>
                <w:lang w:eastAsia="zh-CN"/>
              </w:rPr>
            </m:ctrlPr>
          </m:sSubPr>
          <m:e>
            <m:r>
              <w:rPr>
                <w:rFonts w:ascii="Cambria Math" w:hAnsi="Cambria Math"/>
                <w:lang w:eastAsia="zh-CN"/>
              </w:rPr>
              <m:t>S</m:t>
            </m:r>
            <m:ctrlPr>
              <w:rPr>
                <w:rFonts w:ascii="Cambria Math" w:hAnsi="Cambria Math"/>
                <w:i/>
                <w:lang w:eastAsia="zh-CN"/>
              </w:rPr>
            </m:ctrlPr>
          </m:e>
          <m:sub>
            <m:r>
              <w:rPr>
                <w:rFonts w:ascii="Cambria Math" w:hAnsi="Cambria Math"/>
                <w:lang w:eastAsia="zh-CN"/>
              </w:rPr>
              <m:t>pi</m:t>
            </m:r>
            <m:ctrlPr>
              <w:rPr>
                <w:rFonts w:ascii="Cambria Math" w:hAnsi="Cambria Math"/>
                <w:i/>
                <w:lang w:eastAsia="zh-CN"/>
              </w:rPr>
            </m:ctrlPr>
          </m:sub>
        </m:sSub>
        <m:r>
          <m:rPr>
            <m:sty m:val="p"/>
          </m:rPr>
          <w:rPr>
            <w:rFonts w:ascii="Cambria Math" w:hAnsi="Cambria Math"/>
            <w:lang w:eastAsia="zh-CN"/>
          </w:rPr>
          <m:t xml:space="preserve"> (i=1,2,3,…)</m:t>
        </m:r>
      </m:oMath>
      <w:r>
        <w:rPr>
          <w:lang w:eastAsia="zh-CN"/>
        </w:rPr>
        <w:t xml:space="preserve"> is the transmitted signal at subcarrier </w:t>
      </w:r>
      <m:oMath>
        <m:sSub>
          <m:sSubPr>
            <m:ctrlPr>
              <w:rPr>
                <w:rFonts w:ascii="Cambria Math" w:hAnsi="Cambria Math"/>
                <w:i/>
                <w:lang w:eastAsia="zh-CN"/>
              </w:rPr>
            </m:ctrlPr>
          </m:sSubPr>
          <m:e>
            <m:r>
              <w:rPr>
                <w:rFonts w:ascii="Cambria Math" w:hAnsi="Cambria Math"/>
                <w:lang w:eastAsia="zh-CN"/>
              </w:rPr>
              <m:t>p</m:t>
            </m:r>
            <m:ctrlPr>
              <w:rPr>
                <w:rFonts w:ascii="Cambria Math" w:hAnsi="Cambria Math"/>
                <w:i/>
                <w:lang w:eastAsia="zh-CN"/>
              </w:rPr>
            </m:ctrlPr>
          </m:e>
          <m:sub>
            <m:r>
              <w:rPr>
                <w:rFonts w:ascii="Cambria Math" w:hAnsi="Cambria Math"/>
                <w:lang w:eastAsia="zh-CN"/>
              </w:rPr>
              <m:t>i</m:t>
            </m:r>
            <m:ctrlPr>
              <w:rPr>
                <w:rFonts w:ascii="Cambria Math" w:hAnsi="Cambria Math"/>
                <w:i/>
                <w:lang w:eastAsia="zh-CN"/>
              </w:rPr>
            </m:ctrlPr>
          </m:sub>
        </m:sSub>
      </m:oMath>
      <w:r>
        <w:rPr>
          <w:lang w:eastAsia="zh-CN"/>
        </w:rPr>
        <w:t>. For distributed PTRS, only the middle column (with red color) in the left matrix are from PTRS with power boosting, and rest of the received signals are from data without power boosting</w:t>
      </w:r>
      <w:r>
        <w:rPr>
          <w:rFonts w:hint="eastAsia"/>
          <w:lang w:val="en-US" w:eastAsia="zh-CN"/>
        </w:rPr>
        <w:t>[6]</w:t>
      </w:r>
      <w:r>
        <w:rPr>
          <w:lang w:eastAsia="zh-CN"/>
        </w:rPr>
        <w:t>. The effect of power boost</w:t>
      </w:r>
      <w:r>
        <w:rPr>
          <w:rFonts w:hint="eastAsia"/>
          <w:lang w:val="en-US" w:eastAsia="zh-CN"/>
        </w:rPr>
        <w:t>ing for legacy PRTS to perform ICI estimation</w:t>
      </w:r>
      <w:r>
        <w:rPr>
          <w:lang w:eastAsia="zh-CN"/>
        </w:rPr>
        <w:t xml:space="preserve"> is quite limited.</w:t>
      </w:r>
    </w:p>
    <w:p>
      <w:pPr>
        <w:wordWrap w:val="0"/>
        <w:jc w:val="right"/>
        <w:rPr>
          <w:lang w:eastAsia="zh-CN"/>
        </w:rPr>
      </w:pPr>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3"/>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p1-2</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p1-1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color w:val="FF0000"/>
                              <w:lang w:eastAsia="zh-CN"/>
                            </w:rPr>
                          </m:ctrlPr>
                        </m:sSubPr>
                        <m:e>
                          <m:r>
                            <w:rPr>
                              <w:rFonts w:ascii="Cambria Math" w:hAnsi="Cambria Math"/>
                              <w:color w:val="FF0000"/>
                              <w:lang w:eastAsia="zh-CN"/>
                            </w:rPr>
                            <m:t>r</m:t>
                          </m:r>
                          <m:ctrlPr>
                            <w:rPr>
                              <w:rFonts w:ascii="Cambria Math" w:hAnsi="Cambria Math"/>
                              <w:i/>
                              <w:color w:val="FF0000"/>
                              <w:lang w:eastAsia="zh-CN"/>
                            </w:rPr>
                          </m:ctrlPr>
                        </m:e>
                        <m:sub>
                          <m:r>
                            <w:rPr>
                              <w:rFonts w:ascii="Cambria Math" w:hAnsi="Cambria Math"/>
                              <w:color w:val="FF0000"/>
                              <w:lang w:eastAsia="zh-CN"/>
                            </w:rPr>
                            <m:t>p1</m:t>
                          </m:r>
                          <m:ctrlPr>
                            <w:rPr>
                              <w:rFonts w:ascii="Cambria Math" w:hAnsi="Cambria Math"/>
                              <w:i/>
                              <w:color w:val="FF0000"/>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p2-2</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p2-1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color w:val="FF0000"/>
                              <w:lang w:eastAsia="zh-CN"/>
                            </w:rPr>
                          </m:ctrlPr>
                        </m:sSubPr>
                        <m:e>
                          <m:r>
                            <w:rPr>
                              <w:rFonts w:ascii="Cambria Math" w:hAnsi="Cambria Math"/>
                              <w:color w:val="FF0000"/>
                              <w:lang w:eastAsia="zh-CN"/>
                            </w:rPr>
                            <m:t>r</m:t>
                          </m:r>
                          <m:ctrlPr>
                            <w:rPr>
                              <w:rFonts w:ascii="Cambria Math" w:hAnsi="Cambria Math"/>
                              <w:i/>
                              <w:color w:val="FF0000"/>
                              <w:lang w:eastAsia="zh-CN"/>
                            </w:rPr>
                          </m:ctrlPr>
                        </m:e>
                        <m:sub>
                          <m:r>
                            <w:rPr>
                              <w:rFonts w:ascii="Cambria Math" w:hAnsi="Cambria Math"/>
                              <w:color w:val="FF0000"/>
                              <w:lang w:eastAsia="zh-CN"/>
                            </w:rPr>
                            <m:t>p2</m:t>
                          </m:r>
                          <m:ctrlPr>
                            <w:rPr>
                              <w:rFonts w:ascii="Cambria Math" w:hAnsi="Cambria Math"/>
                              <w:i/>
                              <w:color w:val="FF0000"/>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p3-2</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p3-1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color w:val="FF0000"/>
                              <w:lang w:eastAsia="zh-CN"/>
                            </w:rPr>
                          </m:ctrlPr>
                        </m:sSubPr>
                        <m:e>
                          <m:r>
                            <w:rPr>
                              <w:rFonts w:ascii="Cambria Math" w:hAnsi="Cambria Math"/>
                              <w:color w:val="FF0000"/>
                              <w:lang w:eastAsia="zh-CN"/>
                            </w:rPr>
                            <m:t>r</m:t>
                          </m:r>
                          <m:ctrlPr>
                            <w:rPr>
                              <w:rFonts w:ascii="Cambria Math" w:hAnsi="Cambria Math"/>
                              <w:i/>
                              <w:color w:val="FF0000"/>
                              <w:lang w:eastAsia="zh-CN"/>
                            </w:rPr>
                          </m:ctrlPr>
                        </m:e>
                        <m:sub>
                          <m:r>
                            <w:rPr>
                              <w:rFonts w:ascii="Cambria Math" w:hAnsi="Cambria Math"/>
                              <w:color w:val="FF0000"/>
                              <w:lang w:eastAsia="zh-CN"/>
                            </w:rPr>
                            <m:t>p3</m:t>
                          </m:r>
                          <m:ctrlPr>
                            <w:rPr>
                              <w:rFonts w:ascii="Cambria Math" w:hAnsi="Cambria Math"/>
                              <w:i/>
                              <w:color w:val="FF0000"/>
                              <w:lang w:eastAsia="zh-CN"/>
                            </w:rPr>
                          </m:ctrlPr>
                        </m:sub>
                      </m:sSub>
                      <m:ctrlPr>
                        <w:rPr>
                          <w:rFonts w:ascii="Cambria Math" w:hAnsi="Cambria Math"/>
                          <w:i/>
                          <w:lang w:eastAsia="zh-CN"/>
                        </w:rPr>
                      </m:ctrlPr>
                    </m:e>
                  </m:mr>
                </m:m>
                <m:r>
                  <w:rPr>
                    <w:rFonts w:ascii="Cambria Math" w:hAnsi="Cambria Math"/>
                    <w:lang w:eastAsia="zh-CN"/>
                  </w:rPr>
                  <m:t>     </m:t>
                </m:r>
                <m:m>
                  <m:mPr>
                    <m:mcs>
                      <m:mc>
                        <m:mcPr>
                          <m:count m:val="2"/>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p1+1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p1+2</m:t>
                          </m:r>
                          <m:ctrlPr>
                            <w:rPr>
                              <w:rFonts w:ascii="Cambria Math" w:hAnsi="Cambria Math"/>
                              <w:i/>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p2+1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p2+2</m:t>
                          </m:r>
                          <m:ctrlPr>
                            <w:rPr>
                              <w:rFonts w:ascii="Cambria Math" w:hAnsi="Cambria Math"/>
                              <w:i/>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p3+1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r</m:t>
                          </m:r>
                          <m:ctrlPr>
                            <w:rPr>
                              <w:rFonts w:ascii="Cambria Math" w:hAnsi="Cambria Math"/>
                              <w:i/>
                              <w:lang w:eastAsia="zh-CN"/>
                            </w:rPr>
                          </m:ctrlPr>
                        </m:e>
                        <m:sub>
                          <m:r>
                            <w:rPr>
                              <w:rFonts w:ascii="Cambria Math" w:hAnsi="Cambria Math"/>
                              <w:lang w:eastAsia="zh-CN"/>
                            </w:rPr>
                            <m:t>p3+2</m:t>
                          </m:r>
                          <m:ctrlPr>
                            <w:rPr>
                              <w:rFonts w:ascii="Cambria Math" w:hAnsi="Cambria Math"/>
                              <w:i/>
                              <w:lang w:eastAsia="zh-CN"/>
                            </w:rPr>
                          </m:ctrlPr>
                        </m:sub>
                      </m:sSub>
                      <m:ctrlPr>
                        <w:rPr>
                          <w:rFonts w:ascii="Cambria Math" w:hAnsi="Cambria Math"/>
                          <w:i/>
                          <w:lang w:eastAsia="zh-CN"/>
                        </w:rPr>
                      </m:ctrlPr>
                    </m:e>
                  </m:mr>
                </m:m>
                <m:ctrlPr>
                  <w:rPr>
                    <w:rFonts w:ascii="Cambria Math" w:hAnsi="Cambria Math"/>
                    <w:i/>
                    <w:lang w:eastAsia="zh-CN"/>
                  </w:rPr>
                </m:ctrlPr>
              </m:e>
              <m:e>
                <m:r>
                  <w:rPr>
                    <w:rFonts w:ascii="Cambria Math" w:hAnsi="Cambria Math"/>
                    <w:lang w:eastAsia="zh-CN"/>
                  </w:rPr>
                  <m:t>…</m:t>
                </m:r>
                <m:ctrlPr>
                  <w:rPr>
                    <w:rFonts w:ascii="Cambria Math" w:hAnsi="Cambria Math"/>
                    <w:i/>
                    <w:lang w:eastAsia="zh-CN"/>
                  </w:rPr>
                </m:ctrlPr>
              </m:e>
            </m:eqArr>
            <m:ctrlPr>
              <w:rPr>
                <w:rFonts w:ascii="Cambria Math" w:hAnsi="Cambria Math"/>
                <w:i/>
                <w:lang w:eastAsia="zh-CN"/>
              </w:rPr>
            </m:ctrlPr>
          </m:e>
        </m:d>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-2</m:t>
                          </m:r>
                          <m:ctrlPr>
                            <w:rPr>
                              <w:rFonts w:ascii="Cambria Math" w:hAnsi="Cambria Math"/>
                              <w:i/>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-1</m:t>
                          </m:r>
                          <m:ctrlPr>
                            <w:rPr>
                              <w:rFonts w:ascii="Cambria Math" w:hAnsi="Cambria Math"/>
                              <w:i/>
                              <w:lang w:eastAsia="zh-CN"/>
                            </w:rPr>
                          </m:ctrlPr>
                        </m:sub>
                      </m:sSub>
                      <m:ctrlPr>
                        <w:rPr>
                          <w:rFonts w:ascii="Cambria Math" w:hAnsi="Cambria Math"/>
                          <w:i/>
                          <w:lang w:eastAsia="zh-CN"/>
                        </w:rPr>
                      </m:ctrlPr>
                    </m:e>
                  </m:mr>
                  <m:mr>
                    <m:e>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0</m:t>
                          </m:r>
                          <m:ctrlPr>
                            <w:rPr>
                              <w:rFonts w:ascii="Cambria Math" w:hAnsi="Cambria Math"/>
                              <w:i/>
                              <w:lang w:eastAsia="zh-CN"/>
                            </w:rPr>
                          </m:ctrlPr>
                        </m:sub>
                      </m:sSub>
                      <m:ctrlPr>
                        <w:rPr>
                          <w:rFonts w:ascii="Cambria Math" w:hAnsi="Cambria Math"/>
                          <w:i/>
                          <w:lang w:eastAsia="zh-CN"/>
                        </w:rPr>
                      </m:ctrlPr>
                    </m:e>
                  </m:mr>
                </m:m>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1</m:t>
                    </m:r>
                    <m:ctrlPr>
                      <w:rPr>
                        <w:rFonts w:ascii="Cambria Math" w:hAnsi="Cambria Math"/>
                        <w:i/>
                        <w:lang w:eastAsia="zh-CN"/>
                      </w:rPr>
                    </m:ctrlPr>
                  </m:sub>
                </m:sSub>
                <m:ctrlPr>
                  <w:rPr>
                    <w:rFonts w:ascii="Cambria Math" w:hAnsi="Cambria Math" w:eastAsia="Cambria Math" w:cs="Cambria Math"/>
                    <w:i/>
                  </w:rPr>
                </m:ctrlPr>
              </m:e>
              <m:e>
                <m:sSub>
                  <m:sSubPr>
                    <m:ctrlPr>
                      <w:rPr>
                        <w:rFonts w:ascii="Cambria Math" w:hAnsi="Cambria Math"/>
                        <w:i/>
                        <w:lang w:eastAsia="zh-CN"/>
                      </w:rPr>
                    </m:ctrlPr>
                  </m:sSubPr>
                  <m:e>
                    <m:r>
                      <w:rPr>
                        <w:rFonts w:ascii="Cambria Math" w:hAnsi="Cambria Math"/>
                        <w:lang w:eastAsia="zh-CN"/>
                      </w:rPr>
                      <m:t>I</m:t>
                    </m:r>
                    <m:ctrlPr>
                      <w:rPr>
                        <w:rFonts w:ascii="Cambria Math" w:hAnsi="Cambria Math"/>
                        <w:i/>
                        <w:lang w:eastAsia="zh-CN"/>
                      </w:rPr>
                    </m:ctrlPr>
                  </m:e>
                  <m:sub>
                    <m:r>
                      <w:rPr>
                        <w:rFonts w:ascii="Cambria Math" w:hAnsi="Cambria Math"/>
                        <w:lang w:eastAsia="zh-CN"/>
                      </w:rPr>
                      <m:t>2</m:t>
                    </m:r>
                    <m:ctrlPr>
                      <w:rPr>
                        <w:rFonts w:ascii="Cambria Math" w:hAnsi="Cambria Math"/>
                        <w:i/>
                        <w:lang w:eastAsia="zh-CN"/>
                      </w:rPr>
                    </m:ctrlPr>
                  </m:sub>
                </m:sSub>
                <m:ctrlPr>
                  <w:rPr>
                    <w:rFonts w:ascii="Cambria Math" w:hAnsi="Cambria Math"/>
                    <w:i/>
                    <w:lang w:eastAsia="zh-CN"/>
                  </w:rPr>
                </m:ctrlPr>
              </m:e>
            </m:eqArr>
            <m:ctrlPr>
              <w:rPr>
                <w:rFonts w:ascii="Cambria Math" w:hAnsi="Cambria Math"/>
                <w:i/>
                <w:lang w:eastAsia="zh-CN"/>
              </w:rPr>
            </m:ctrlP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S</m:t>
                    </m:r>
                    <m:ctrlPr>
                      <w:rPr>
                        <w:rFonts w:ascii="Cambria Math" w:hAnsi="Cambria Math"/>
                        <w:i/>
                        <w:lang w:eastAsia="zh-CN"/>
                      </w:rPr>
                    </m:ctrlPr>
                  </m:e>
                  <m:sub>
                    <m:r>
                      <w:rPr>
                        <w:rFonts w:ascii="Cambria Math" w:hAnsi="Cambria Math"/>
                        <w:lang w:eastAsia="zh-CN"/>
                      </w:rPr>
                      <m:t>p1</m:t>
                    </m:r>
                    <m:ctrlPr>
                      <w:rPr>
                        <w:rFonts w:ascii="Cambria Math" w:hAnsi="Cambria Math"/>
                        <w:i/>
                        <w:lang w:eastAsia="zh-CN"/>
                      </w:rPr>
                    </m:ctrlPr>
                  </m:sub>
                </m:sSub>
                <m:ctrlPr>
                  <w:rPr>
                    <w:rFonts w:ascii="Cambria Math" w:hAnsi="Cambria Math"/>
                    <w:i/>
                    <w:lang w:eastAsia="zh-CN"/>
                  </w:rPr>
                </m:ctrlPr>
              </m:e>
              <m:e>
                <m:sSub>
                  <m:sSubPr>
                    <m:ctrlPr>
                      <w:rPr>
                        <w:rFonts w:ascii="Cambria Math" w:hAnsi="Cambria Math"/>
                        <w:i/>
                        <w:lang w:eastAsia="zh-CN"/>
                      </w:rPr>
                    </m:ctrlPr>
                  </m:sSubPr>
                  <m:e>
                    <m:r>
                      <w:rPr>
                        <w:rFonts w:ascii="Cambria Math" w:hAnsi="Cambria Math"/>
                        <w:lang w:eastAsia="zh-CN"/>
                      </w:rPr>
                      <m:t>S</m:t>
                    </m:r>
                    <m:ctrlPr>
                      <w:rPr>
                        <w:rFonts w:ascii="Cambria Math" w:hAnsi="Cambria Math"/>
                        <w:i/>
                        <w:lang w:eastAsia="zh-CN"/>
                      </w:rPr>
                    </m:ctrlPr>
                  </m:e>
                  <m:sub>
                    <m:r>
                      <w:rPr>
                        <w:rFonts w:ascii="Cambria Math" w:hAnsi="Cambria Math"/>
                        <w:lang w:eastAsia="zh-CN"/>
                      </w:rPr>
                      <m:t>p2</m:t>
                    </m:r>
                    <m:ctrlPr>
                      <w:rPr>
                        <w:rFonts w:ascii="Cambria Math" w:hAnsi="Cambria Math"/>
                        <w:i/>
                        <w:lang w:eastAsia="zh-CN"/>
                      </w:rPr>
                    </m:ctrlPr>
                  </m:sub>
                </m:sSub>
                <m:ctrlPr>
                  <w:rPr>
                    <w:rFonts w:ascii="Cambria Math" w:hAnsi="Cambria Math" w:eastAsia="Cambria Math" w:cs="Cambria Math"/>
                    <w:i/>
                  </w:rPr>
                </m:ctrlPr>
              </m:e>
              <m:e>
                <m:sSub>
                  <m:sSubPr>
                    <m:ctrlPr>
                      <w:rPr>
                        <w:rFonts w:ascii="Cambria Math" w:hAnsi="Cambria Math"/>
                        <w:i/>
                        <w:lang w:eastAsia="zh-CN"/>
                      </w:rPr>
                    </m:ctrlPr>
                  </m:sSubPr>
                  <m:e>
                    <m:r>
                      <w:rPr>
                        <w:rFonts w:ascii="Cambria Math" w:hAnsi="Cambria Math"/>
                        <w:lang w:eastAsia="zh-CN"/>
                      </w:rPr>
                      <m:t>S</m:t>
                    </m:r>
                    <m:ctrlPr>
                      <w:rPr>
                        <w:rFonts w:ascii="Cambria Math" w:hAnsi="Cambria Math"/>
                        <w:i/>
                        <w:lang w:eastAsia="zh-CN"/>
                      </w:rPr>
                    </m:ctrlPr>
                  </m:e>
                  <m:sub>
                    <m:r>
                      <w:rPr>
                        <w:rFonts w:ascii="Cambria Math" w:hAnsi="Cambria Math"/>
                        <w:lang w:eastAsia="zh-CN"/>
                      </w:rPr>
                      <m:t>p3</m:t>
                    </m:r>
                    <m:ctrlPr>
                      <w:rPr>
                        <w:rFonts w:ascii="Cambria Math" w:hAnsi="Cambria Math"/>
                        <w:i/>
                        <w:lang w:eastAsia="zh-CN"/>
                      </w:rPr>
                    </m:ctrlPr>
                  </m:sub>
                </m:sSub>
                <m:ctrlPr>
                  <w:rPr>
                    <w:rFonts w:ascii="Cambria Math" w:hAnsi="Cambria Math" w:eastAsia="Cambria Math" w:cs="Cambria Math"/>
                    <w:i/>
                  </w:rPr>
                </m:ctrlPr>
              </m:e>
              <m:e>
                <m:r>
                  <w:rPr>
                    <w:rFonts w:ascii="Cambria Math" w:hAnsi="Cambria Math" w:eastAsia="Cambria Math" w:cs="Cambria Math"/>
                  </w:rPr>
                  <m:t>…</m:t>
                </m:r>
                <m:ctrlPr>
                  <w:rPr>
                    <w:rFonts w:ascii="Cambria Math" w:hAnsi="Cambria Math"/>
                    <w:i/>
                    <w:lang w:eastAsia="zh-CN"/>
                  </w:rPr>
                </m:ctrlPr>
              </m:e>
            </m:eqArr>
            <m:ctrlPr>
              <w:rPr>
                <w:rFonts w:ascii="Cambria Math" w:hAnsi="Cambria Math"/>
                <w:i/>
                <w:lang w:eastAsia="zh-CN"/>
              </w:rPr>
            </m:ctrlPr>
          </m:e>
        </m:d>
        <m:r>
          <w:rPr>
            <w:rFonts w:ascii="Cambria Math" w:hAnsi="Cambria Math"/>
            <w:lang w:eastAsia="zh-CN"/>
          </w:rPr>
          <m:t>+</m:t>
        </m:r>
        <m:r>
          <m:rPr>
            <m:sty m:val="bi"/>
          </m:rPr>
          <w:rPr>
            <w:rFonts w:ascii="Cambria Math" w:hAnsi="Cambria Math"/>
            <w:lang w:eastAsia="zh-CN"/>
          </w:rPr>
          <m:t>n</m:t>
        </m:r>
      </m:oMath>
      <w:r>
        <w:rPr>
          <w:b/>
          <w:lang w:eastAsia="zh-CN"/>
        </w:rPr>
        <w:t xml:space="preserve">                                    </w:t>
      </w:r>
      <w:r>
        <w:rPr>
          <w:lang w:eastAsia="zh-CN"/>
        </w:rPr>
        <w:t>(</w:t>
      </w:r>
      <w:r>
        <w:rPr>
          <w:rFonts w:hint="eastAsia"/>
          <w:lang w:val="en-US" w:eastAsia="zh-CN"/>
        </w:rPr>
        <w:t>1</w:t>
      </w:r>
      <w:r>
        <w:rPr>
          <w:lang w:eastAsia="zh-CN"/>
        </w:rPr>
        <w:t>)</w:t>
      </w:r>
    </w:p>
    <w:p>
      <w:pPr>
        <w:rPr>
          <w:lang w:val="en-US" w:eastAsia="zh-CN"/>
        </w:rPr>
      </w:pPr>
    </w:p>
    <w:p>
      <w:pPr>
        <w:rPr>
          <w:lang w:val="en-US" w:eastAsia="zh-CN"/>
        </w:rPr>
      </w:pPr>
      <w:r>
        <w:rPr>
          <w:rFonts w:hint="eastAsia"/>
          <w:lang w:val="en-US" w:eastAsia="zh-CN"/>
        </w:rPr>
        <w:t>In the following, we provide the simulation results of block PTRS with 3dB power boosting to compare with legacy PTRS without power boosting.</w:t>
      </w:r>
    </w:p>
    <w:p>
      <w:pPr>
        <w:rPr>
          <w:lang w:val="en-US" w:eastAsia="zh-CN"/>
        </w:rPr>
      </w:pPr>
    </w:p>
    <w:p>
      <w:pPr>
        <w:jc w:val="center"/>
        <w:rPr>
          <w:rFonts w:eastAsia="宋体"/>
          <w:lang w:val="en-US" w:eastAsia="zh-CN"/>
        </w:rPr>
      </w:pPr>
      <w:r>
        <w:drawing>
          <wp:inline distT="0" distB="0" distL="114300" distR="114300">
            <wp:extent cx="2719070" cy="2039620"/>
            <wp:effectExtent l="0" t="0" r="5080" b="17780"/>
            <wp:docPr id="5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0"/>
                    <pic:cNvPicPr>
                      <a:picLocks noChangeAspect="1"/>
                    </pic:cNvPicPr>
                  </pic:nvPicPr>
                  <pic:blipFill>
                    <a:blip r:embed="rId22"/>
                    <a:stretch>
                      <a:fillRect/>
                    </a:stretch>
                  </pic:blipFill>
                  <pic:spPr>
                    <a:xfrm>
                      <a:off x="0" y="0"/>
                      <a:ext cx="2719070" cy="2039620"/>
                    </a:xfrm>
                    <a:prstGeom prst="rect">
                      <a:avLst/>
                    </a:prstGeom>
                    <a:noFill/>
                    <a:ln>
                      <a:noFill/>
                    </a:ln>
                  </pic:spPr>
                </pic:pic>
              </a:graphicData>
            </a:graphic>
          </wp:inline>
        </w:drawing>
      </w:r>
      <w:r>
        <w:drawing>
          <wp:inline distT="0" distB="0" distL="114300" distR="114300">
            <wp:extent cx="2746375" cy="2059940"/>
            <wp:effectExtent l="0" t="0" r="15875" b="16510"/>
            <wp:docPr id="5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1"/>
                    <pic:cNvPicPr>
                      <a:picLocks noChangeAspect="1"/>
                    </pic:cNvPicPr>
                  </pic:nvPicPr>
                  <pic:blipFill>
                    <a:blip r:embed="rId23"/>
                    <a:stretch>
                      <a:fillRect/>
                    </a:stretch>
                  </pic:blipFill>
                  <pic:spPr>
                    <a:xfrm>
                      <a:off x="0" y="0"/>
                      <a:ext cx="2746375" cy="2059940"/>
                    </a:xfrm>
                    <a:prstGeom prst="rect">
                      <a:avLst/>
                    </a:prstGeom>
                    <a:noFill/>
                    <a:ln>
                      <a:noFill/>
                    </a:ln>
                  </pic:spPr>
                </pic:pic>
              </a:graphicData>
            </a:graphic>
          </wp:inline>
        </w:drawing>
      </w:r>
    </w:p>
    <w:p>
      <w:pPr>
        <w:jc w:val="center"/>
        <w:rPr>
          <w:rFonts w:eastAsia="宋体"/>
          <w:lang w:val="en-US" w:eastAsia="zh-CN"/>
        </w:rPr>
      </w:pPr>
      <w:r>
        <w:rPr>
          <w:rFonts w:hint="eastAsia" w:eastAsia="宋体"/>
          <w:lang w:val="en-US" w:eastAsia="zh-CN"/>
        </w:rPr>
        <w:t>Figure 2.2-5 Performance of power boosting</w:t>
      </w:r>
    </w:p>
    <w:p>
      <w:pPr>
        <w:jc w:val="both"/>
        <w:rPr>
          <w:rFonts w:eastAsia="宋体"/>
          <w:lang w:val="en-US" w:eastAsia="zh-CN"/>
        </w:rPr>
      </w:pPr>
      <w:r>
        <w:rPr>
          <w:rFonts w:hint="eastAsia" w:eastAsia="宋体"/>
          <w:lang w:val="en-US" w:eastAsia="zh-CN"/>
        </w:rPr>
        <w:t>As shown in Figure 2.2-5, for 120kHz and 480kHz SCS with 256 PRBs, the PTRS overhead is kept the same for different PTRS patterns(K=2), although power boosting can provide about 0.5dB gain for block PTRS in some scenarios, the performance of legacy PTRS without power boosting is still better than block PTRS.</w:t>
      </w:r>
    </w:p>
    <w:p>
      <w:pPr>
        <w:jc w:val="both"/>
        <w:rPr>
          <w:rFonts w:eastAsia="宋体"/>
          <w:lang w:val="en-US" w:eastAsia="zh-CN"/>
        </w:rPr>
      </w:pPr>
      <w:r>
        <w:rPr>
          <w:rFonts w:hint="eastAsia" w:eastAsia="宋体"/>
          <w:lang w:val="en-US" w:eastAsia="zh-CN"/>
        </w:rPr>
        <w:t>It seems that the PN estimation accuracy has already been achieved by a long PTRS sequence, power boosting for PTRS may not further improve the performance. Besides, considering that the total power of data and reference signals should be kept unchanged, the overall performance with power boosting is doubtful.</w:t>
      </w:r>
    </w:p>
    <w:p>
      <w:pPr>
        <w:jc w:val="both"/>
        <w:rPr>
          <w:rFonts w:eastAsia="宋体"/>
          <w:b/>
          <w:bCs/>
          <w:lang w:val="en-US" w:eastAsia="zh-CN"/>
        </w:rPr>
      </w:pPr>
      <w:r>
        <w:rPr>
          <w:rFonts w:hint="eastAsia" w:eastAsia="宋体"/>
          <w:b/>
          <w:bCs/>
          <w:lang w:val="en-US" w:eastAsia="zh-CN"/>
        </w:rPr>
        <w:t xml:space="preserve">Observation 4: Block PTRS with power boosting cannot achieve better performance than legacy PTRS. </w:t>
      </w:r>
    </w:p>
    <w:p>
      <w:pPr>
        <w:numPr>
          <w:ilvl w:val="0"/>
          <w:numId w:val="21"/>
        </w:numPr>
        <w:ind w:left="420" w:leftChars="0" w:hanging="420" w:firstLineChars="0"/>
        <w:rPr>
          <w:rFonts w:hint="default"/>
          <w:lang w:val="en-US" w:eastAsia="zh-CN"/>
        </w:rPr>
      </w:pPr>
      <w:r>
        <w:rPr>
          <w:rFonts w:hint="eastAsia"/>
          <w:lang w:val="en-US" w:eastAsia="zh-CN"/>
        </w:rPr>
        <w:t>DMRS pattern</w:t>
      </w:r>
    </w:p>
    <w:p>
      <w:pPr>
        <w:rPr>
          <w:rFonts w:eastAsia="宋体"/>
          <w:lang w:val="en-US" w:eastAsia="zh-CN"/>
        </w:rPr>
      </w:pPr>
      <w:r>
        <w:rPr>
          <w:rFonts w:hint="eastAsia" w:eastAsia="宋体"/>
          <w:lang w:val="en-US" w:eastAsia="zh-CN"/>
        </w:rPr>
        <w:t>In above 52.6GHz SI phase, some companies studied and evaluated DMRS enhancement in frequency domain, i.e. extend the DMRS in every RE in order to perform channel estimation properly. The reason to raise this thought is that, in 60GHz with larger subcarrier spacing</w:t>
      </w:r>
      <w:r>
        <w:rPr>
          <w:rFonts w:eastAsia="宋体"/>
          <w:lang w:val="en-US" w:eastAsia="zh-CN"/>
        </w:rPr>
        <w:t xml:space="preserve"> </w:t>
      </w:r>
      <w:r>
        <w:rPr>
          <w:rFonts w:hint="eastAsia" w:eastAsia="宋体"/>
          <w:lang w:val="en-US" w:eastAsia="zh-CN"/>
        </w:rPr>
        <w:t>(e.g.960kHz), Rel-15 DMRS density may not be sufficient to reflect the frequency selection characteristics. In this chapter, it is investigated and evaluated whether enhancement on Rel-15 DMRS is needed or not.</w:t>
      </w:r>
    </w:p>
    <w:p>
      <w:pPr>
        <w:jc w:val="center"/>
      </w:pPr>
      <w:r>
        <w:rPr>
          <w:lang w:val="en-US" w:eastAsia="zh-CN"/>
        </w:rPr>
        <w:drawing>
          <wp:inline distT="0" distB="0" distL="114300" distR="114300">
            <wp:extent cx="3435350" cy="2193290"/>
            <wp:effectExtent l="0" t="0" r="12700" b="16510"/>
            <wp:docPr id="9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8"/>
                    <pic:cNvPicPr>
                      <a:picLocks noChangeAspect="1"/>
                    </pic:cNvPicPr>
                  </pic:nvPicPr>
                  <pic:blipFill>
                    <a:blip r:embed="rId24"/>
                    <a:stretch>
                      <a:fillRect/>
                    </a:stretch>
                  </pic:blipFill>
                  <pic:spPr>
                    <a:xfrm>
                      <a:off x="0" y="0"/>
                      <a:ext cx="3435350" cy="2193290"/>
                    </a:xfrm>
                    <a:prstGeom prst="rect">
                      <a:avLst/>
                    </a:prstGeom>
                    <a:noFill/>
                    <a:ln>
                      <a:noFill/>
                    </a:ln>
                  </pic:spPr>
                </pic:pic>
              </a:graphicData>
            </a:graphic>
          </wp:inline>
        </w:drawing>
      </w:r>
    </w:p>
    <w:p>
      <w:pPr>
        <w:jc w:val="center"/>
        <w:rPr>
          <w:rFonts w:eastAsia="宋体"/>
          <w:lang w:val="en-US" w:eastAsia="zh-CN"/>
        </w:rPr>
      </w:pPr>
      <w:r>
        <w:rPr>
          <w:rFonts w:hint="eastAsia" w:eastAsia="宋体"/>
          <w:lang w:val="en-US" w:eastAsia="zh-CN"/>
        </w:rPr>
        <w:t>Figure 2.2-6 Rel-15 DMRS Type 1 and new DMRS pattern</w:t>
      </w:r>
    </w:p>
    <w:p>
      <w:pPr>
        <w:jc w:val="both"/>
        <w:rPr>
          <w:rFonts w:eastAsia="宋体"/>
          <w:lang w:val="en-US" w:eastAsia="zh-CN"/>
        </w:rPr>
      </w:pPr>
      <w:r>
        <w:rPr>
          <w:rFonts w:hint="eastAsia" w:eastAsia="宋体"/>
          <w:lang w:val="en-US" w:eastAsia="zh-CN"/>
        </w:rPr>
        <w:t>Considering 480kHz and 960kHz SCS, MCS 22, the performance of Rel-15 DMRS Type 1 and new DMRS pattern with low and high delay spread are shown in Figure 2.2-6. In order to get rid of the impact of phase noise in high frequency, it is assumed ideal PN estimation and compensation in the evaluation of DMRS patterns.</w:t>
      </w:r>
    </w:p>
    <w:p>
      <w:pPr>
        <w:jc w:val="both"/>
        <w:rPr>
          <w:rFonts w:eastAsia="宋体"/>
          <w:lang w:val="en-US" w:eastAsia="zh-CN"/>
        </w:rPr>
      </w:pPr>
    </w:p>
    <w:p>
      <w:pPr>
        <w:jc w:val="both"/>
        <w:rPr>
          <w:rFonts w:eastAsia="宋体"/>
          <w:lang w:val="en-US" w:eastAsia="zh-CN"/>
        </w:rPr>
      </w:pPr>
      <w:r>
        <w:rPr>
          <w:rFonts w:hint="eastAsia" w:eastAsia="宋体"/>
          <w:szCs w:val="24"/>
          <w:lang w:val="en-US" w:eastAsia="zh-CN"/>
        </w:rPr>
        <w:drawing>
          <wp:inline distT="0" distB="0" distL="114300" distR="114300">
            <wp:extent cx="2912110" cy="2184400"/>
            <wp:effectExtent l="0" t="0" r="2540" b="6350"/>
            <wp:docPr id="94" name="图片 26" descr="480K_Pwr_Boo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6" descr="480K_Pwr_Boosting"/>
                    <pic:cNvPicPr>
                      <a:picLocks noChangeAspect="1"/>
                    </pic:cNvPicPr>
                  </pic:nvPicPr>
                  <pic:blipFill>
                    <a:blip r:embed="rId25"/>
                    <a:stretch>
                      <a:fillRect/>
                    </a:stretch>
                  </pic:blipFill>
                  <pic:spPr>
                    <a:xfrm>
                      <a:off x="0" y="0"/>
                      <a:ext cx="2912110" cy="2184400"/>
                    </a:xfrm>
                    <a:prstGeom prst="rect">
                      <a:avLst/>
                    </a:prstGeom>
                    <a:noFill/>
                    <a:ln>
                      <a:noFill/>
                    </a:ln>
                  </pic:spPr>
                </pic:pic>
              </a:graphicData>
            </a:graphic>
          </wp:inline>
        </w:drawing>
      </w:r>
      <w:r>
        <w:rPr>
          <w:rFonts w:hint="eastAsia" w:eastAsia="宋体"/>
          <w:szCs w:val="24"/>
          <w:lang w:val="en-US" w:eastAsia="zh-CN"/>
        </w:rPr>
        <w:drawing>
          <wp:inline distT="0" distB="0" distL="114300" distR="114300">
            <wp:extent cx="2929255" cy="2197100"/>
            <wp:effectExtent l="0" t="0" r="4445" b="12700"/>
            <wp:docPr id="95" name="图片 27" descr="480K_Pwr_Boosti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7" descr="480K_Pwr_Boosting2"/>
                    <pic:cNvPicPr>
                      <a:picLocks noChangeAspect="1"/>
                    </pic:cNvPicPr>
                  </pic:nvPicPr>
                  <pic:blipFill>
                    <a:blip r:embed="rId26"/>
                    <a:stretch>
                      <a:fillRect/>
                    </a:stretch>
                  </pic:blipFill>
                  <pic:spPr>
                    <a:xfrm>
                      <a:off x="0" y="0"/>
                      <a:ext cx="2929255" cy="2197100"/>
                    </a:xfrm>
                    <a:prstGeom prst="rect">
                      <a:avLst/>
                    </a:prstGeom>
                    <a:noFill/>
                    <a:ln>
                      <a:noFill/>
                    </a:ln>
                  </pic:spPr>
                </pic:pic>
              </a:graphicData>
            </a:graphic>
          </wp:inline>
        </w:drawing>
      </w:r>
    </w:p>
    <w:p>
      <w:pPr>
        <w:numPr>
          <w:ilvl w:val="255"/>
          <w:numId w:val="0"/>
        </w:numPr>
        <w:ind w:firstLine="1400" w:firstLineChars="700"/>
        <w:jc w:val="both"/>
        <w:rPr>
          <w:rFonts w:eastAsia="宋体"/>
          <w:lang w:val="en-US" w:eastAsia="zh-CN"/>
        </w:rPr>
      </w:pPr>
      <w:r>
        <w:rPr>
          <w:rFonts w:hint="eastAsia" w:eastAsia="宋体"/>
          <w:lang w:val="en-US" w:eastAsia="zh-CN"/>
        </w:rPr>
        <w:t>(a) TDL-A 5ns  480kHz                                                     (b) TDL-A 20ns 480kHz</w:t>
      </w:r>
    </w:p>
    <w:p>
      <w:r>
        <w:rPr>
          <w:rFonts w:hint="eastAsia" w:eastAsia="宋体"/>
          <w:lang w:val="en-US" w:eastAsia="zh-CN"/>
        </w:rPr>
        <w:drawing>
          <wp:inline distT="0" distB="0" distL="114300" distR="114300">
            <wp:extent cx="3021330" cy="2266315"/>
            <wp:effectExtent l="0" t="0" r="7620" b="635"/>
            <wp:docPr id="96" name="图片 28" descr="960K_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8" descr="960K_5000"/>
                    <pic:cNvPicPr>
                      <a:picLocks noChangeAspect="1"/>
                    </pic:cNvPicPr>
                  </pic:nvPicPr>
                  <pic:blipFill>
                    <a:blip r:embed="rId27"/>
                    <a:stretch>
                      <a:fillRect/>
                    </a:stretch>
                  </pic:blipFill>
                  <pic:spPr>
                    <a:xfrm>
                      <a:off x="0" y="0"/>
                      <a:ext cx="3021330" cy="2266315"/>
                    </a:xfrm>
                    <a:prstGeom prst="rect">
                      <a:avLst/>
                    </a:prstGeom>
                    <a:noFill/>
                    <a:ln>
                      <a:noFill/>
                    </a:ln>
                  </pic:spPr>
                </pic:pic>
              </a:graphicData>
            </a:graphic>
          </wp:inline>
        </w:drawing>
      </w:r>
      <w:r>
        <w:rPr>
          <w:rFonts w:hint="eastAsia" w:eastAsia="宋体"/>
          <w:lang w:val="en-US" w:eastAsia="zh-CN"/>
        </w:rPr>
        <w:drawing>
          <wp:inline distT="0" distB="0" distL="114300" distR="114300">
            <wp:extent cx="2893695" cy="2170430"/>
            <wp:effectExtent l="0" t="0" r="1905" b="1270"/>
            <wp:docPr id="97" name="图片 29" descr="960K_5000_20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9" descr="960K_5000_20ns"/>
                    <pic:cNvPicPr>
                      <a:picLocks noChangeAspect="1"/>
                    </pic:cNvPicPr>
                  </pic:nvPicPr>
                  <pic:blipFill>
                    <a:blip r:embed="rId28"/>
                    <a:stretch>
                      <a:fillRect/>
                    </a:stretch>
                  </pic:blipFill>
                  <pic:spPr>
                    <a:xfrm>
                      <a:off x="0" y="0"/>
                      <a:ext cx="2893695" cy="2170430"/>
                    </a:xfrm>
                    <a:prstGeom prst="rect">
                      <a:avLst/>
                    </a:prstGeom>
                    <a:noFill/>
                    <a:ln>
                      <a:noFill/>
                    </a:ln>
                  </pic:spPr>
                </pic:pic>
              </a:graphicData>
            </a:graphic>
          </wp:inline>
        </w:drawing>
      </w:r>
    </w:p>
    <w:p>
      <w:pPr>
        <w:numPr>
          <w:ilvl w:val="255"/>
          <w:numId w:val="0"/>
        </w:numPr>
        <w:rPr>
          <w:rFonts w:eastAsia="宋体"/>
          <w:lang w:val="en-US" w:eastAsia="zh-CN"/>
        </w:rPr>
      </w:pPr>
      <w:r>
        <w:rPr>
          <w:rFonts w:hint="eastAsia" w:eastAsia="宋体"/>
          <w:lang w:val="en-US" w:eastAsia="zh-CN"/>
        </w:rPr>
        <w:t xml:space="preserve">                    (c) TDL-A 5ns 960kHz                                                        (d) TDL-A 20ns 960kHz </w:t>
      </w:r>
    </w:p>
    <w:p>
      <w:pPr>
        <w:jc w:val="both"/>
        <w:rPr>
          <w:rFonts w:eastAsia="宋体"/>
          <w:lang w:val="en-US" w:eastAsia="zh-CN"/>
        </w:rPr>
      </w:pPr>
    </w:p>
    <w:p>
      <w:pPr>
        <w:jc w:val="center"/>
        <w:rPr>
          <w:rFonts w:eastAsia="宋体"/>
          <w:lang w:val="en-US" w:eastAsia="zh-CN"/>
        </w:rPr>
      </w:pPr>
      <w:r>
        <w:rPr>
          <w:rFonts w:hint="eastAsia" w:eastAsia="宋体"/>
          <w:lang w:val="en-US" w:eastAsia="zh-CN"/>
        </w:rPr>
        <w:t>Figure 2.2-7 performance of Rel-15 DMRS Type 1 and new DMRS pattern</w:t>
      </w:r>
    </w:p>
    <w:p>
      <w:pPr>
        <w:jc w:val="both"/>
        <w:rPr>
          <w:rFonts w:eastAsia="宋体"/>
          <w:lang w:val="en-US" w:eastAsia="zh-CN"/>
        </w:rPr>
      </w:pPr>
      <w:r>
        <w:rPr>
          <w:rFonts w:hint="eastAsia" w:eastAsia="宋体"/>
          <w:lang w:val="en-US" w:eastAsia="zh-CN"/>
        </w:rPr>
        <w:t>As illustrated in Figure 2.2-7, for 480kHz and 960kHz, new DMRS pattern with higher DMRS density and total power is slightly better</w:t>
      </w:r>
      <w:r>
        <w:rPr>
          <w:rFonts w:eastAsia="宋体"/>
          <w:lang w:val="en-US" w:eastAsia="zh-CN"/>
        </w:rPr>
        <w:t xml:space="preserve"> </w:t>
      </w:r>
      <w:r>
        <w:rPr>
          <w:rFonts w:hint="eastAsia" w:eastAsia="宋体"/>
          <w:lang w:val="en-US" w:eastAsia="zh-CN"/>
        </w:rPr>
        <w:t xml:space="preserve">(less than </w:t>
      </w:r>
      <w:r>
        <w:rPr>
          <w:rFonts w:eastAsia="宋体"/>
          <w:lang w:val="en-US" w:eastAsia="zh-CN"/>
        </w:rPr>
        <w:t>0.5</w:t>
      </w:r>
      <w:r>
        <w:rPr>
          <w:rFonts w:hint="eastAsia" w:eastAsia="宋体"/>
          <w:lang w:val="en-US" w:eastAsia="zh-CN"/>
        </w:rPr>
        <w:t>dB gain) than Rel-15 DMRS Type 1, both in low delay spread and high delay spread</w:t>
      </w:r>
      <w:r>
        <w:rPr>
          <w:rFonts w:eastAsia="宋体"/>
          <w:lang w:val="en-US" w:eastAsia="zh-CN"/>
        </w:rPr>
        <w:t xml:space="preserve">. </w:t>
      </w:r>
      <w:r>
        <w:rPr>
          <w:rFonts w:hint="eastAsia" w:eastAsia="宋体"/>
          <w:lang w:val="en-US" w:eastAsia="zh-CN"/>
        </w:rPr>
        <w:t xml:space="preserve">However, when power boosting is performed based on legacy DMRS Type1 to achieve the same total power with new DMRS pattern, the performance of legacy DMRS pattern can have similar or better performance compared with new DMRS pattern. </w:t>
      </w:r>
      <w:r>
        <w:rPr>
          <w:rFonts w:eastAsia="宋体"/>
          <w:lang w:val="en-US" w:eastAsia="zh-CN"/>
        </w:rPr>
        <w:t>Considering the specification efforts,</w:t>
      </w:r>
      <w:r>
        <w:rPr>
          <w:rFonts w:hint="eastAsia" w:eastAsia="宋体"/>
          <w:lang w:val="en-US" w:eastAsia="zh-CN"/>
        </w:rPr>
        <w:t xml:space="preserve"> </w:t>
      </w:r>
      <w:r>
        <w:rPr>
          <w:rFonts w:eastAsia="宋体"/>
          <w:lang w:val="en-US" w:eastAsia="zh-CN"/>
        </w:rPr>
        <w:t>it seems to be</w:t>
      </w:r>
      <w:r>
        <w:rPr>
          <w:rFonts w:hint="eastAsia" w:eastAsia="宋体"/>
          <w:lang w:val="en-US" w:eastAsia="zh-CN"/>
        </w:rPr>
        <w:t xml:space="preserve"> </w:t>
      </w:r>
      <w:r>
        <w:rPr>
          <w:rFonts w:eastAsia="宋体"/>
          <w:lang w:val="en-US" w:eastAsia="zh-CN"/>
        </w:rPr>
        <w:t>more reasonable to reuse the Rel-15 DMRS patter</w:t>
      </w:r>
      <w:r>
        <w:rPr>
          <w:rFonts w:hint="eastAsia" w:eastAsia="宋体"/>
          <w:lang w:val="en-US" w:eastAsia="zh-CN"/>
        </w:rPr>
        <w:t>n</w:t>
      </w:r>
      <w:r>
        <w:rPr>
          <w:rFonts w:eastAsia="宋体"/>
          <w:lang w:val="en-US" w:eastAsia="zh-CN"/>
        </w:rPr>
        <w:t xml:space="preserve"> for 52.6~71GHz</w:t>
      </w:r>
      <w:r>
        <w:rPr>
          <w:rFonts w:hint="eastAsia" w:eastAsia="宋体"/>
          <w:lang w:val="en-US" w:eastAsia="zh-CN"/>
        </w:rPr>
        <w:t>.</w:t>
      </w:r>
    </w:p>
    <w:p>
      <w:pPr>
        <w:jc w:val="both"/>
        <w:rPr>
          <w:rFonts w:eastAsia="宋体"/>
          <w:b/>
          <w:bCs/>
          <w:lang w:val="en-US" w:eastAsia="zh-CN"/>
        </w:rPr>
      </w:pPr>
      <w:r>
        <w:rPr>
          <w:rFonts w:hint="eastAsia" w:eastAsia="宋体"/>
          <w:b/>
          <w:bCs/>
          <w:lang w:val="en-US" w:eastAsia="zh-CN"/>
        </w:rPr>
        <w:t>Observation 5: With the same total RS power, Rel-15 DMRS Type 1</w:t>
      </w:r>
      <w:r>
        <w:rPr>
          <w:rFonts w:eastAsia="宋体"/>
          <w:b/>
          <w:bCs/>
          <w:lang w:val="en-US" w:eastAsia="zh-CN"/>
        </w:rPr>
        <w:t xml:space="preserve"> pattern</w:t>
      </w:r>
      <w:r>
        <w:rPr>
          <w:rFonts w:hint="eastAsia" w:eastAsia="宋体"/>
          <w:b/>
          <w:bCs/>
          <w:lang w:val="en-US" w:eastAsia="zh-CN"/>
        </w:rPr>
        <w:t xml:space="preserve"> and </w:t>
      </w:r>
      <w:r>
        <w:rPr>
          <w:rFonts w:eastAsia="宋体"/>
          <w:b/>
          <w:bCs/>
          <w:lang w:val="en-US" w:eastAsia="zh-CN"/>
        </w:rPr>
        <w:t xml:space="preserve">the </w:t>
      </w:r>
      <w:r>
        <w:rPr>
          <w:rFonts w:hint="eastAsia" w:eastAsia="宋体"/>
          <w:b/>
          <w:bCs/>
          <w:lang w:val="en-US" w:eastAsia="zh-CN"/>
        </w:rPr>
        <w:t xml:space="preserve">new DMRS pattern </w:t>
      </w:r>
      <w:r>
        <w:rPr>
          <w:rFonts w:eastAsia="宋体"/>
          <w:b/>
          <w:bCs/>
          <w:lang w:val="en-US" w:eastAsia="zh-CN"/>
        </w:rPr>
        <w:t xml:space="preserve">that fully occupied in frequency domain </w:t>
      </w:r>
      <w:r>
        <w:rPr>
          <w:rFonts w:hint="eastAsia" w:eastAsia="宋体"/>
          <w:b/>
          <w:bCs/>
          <w:lang w:val="en-US" w:eastAsia="zh-CN"/>
        </w:rPr>
        <w:t>show comparable performance.</w:t>
      </w:r>
    </w:p>
    <w:p>
      <w:pPr>
        <w:numPr>
          <w:numId w:val="0"/>
        </w:numPr>
        <w:ind w:leftChars="0"/>
        <w:rPr>
          <w:rFonts w:hint="default"/>
          <w:lang w:val="en-US" w:eastAsia="zh-CN"/>
        </w:rPr>
      </w:pPr>
    </w:p>
    <w:bookmarkEnd w:id="0"/>
    <w:p>
      <w:pPr>
        <w:pStyle w:val="3"/>
        <w:numPr>
          <w:ilvl w:val="1"/>
          <w:numId w:val="13"/>
        </w:numPr>
        <w:rPr>
          <w:rFonts w:eastAsia="宋体"/>
          <w:lang w:val="en-US" w:eastAsia="zh-CN"/>
        </w:rPr>
      </w:pPr>
      <w:r>
        <w:rPr>
          <w:rFonts w:hint="eastAsia" w:eastAsia="宋体"/>
          <w:lang w:val="en-US" w:eastAsia="zh-CN"/>
        </w:rPr>
        <w:t xml:space="preserve"> </w:t>
      </w:r>
      <w:r>
        <w:rPr>
          <w:rFonts w:eastAsia="宋体"/>
          <w:lang w:val="en-US" w:eastAsia="zh-CN"/>
        </w:rPr>
        <w:t xml:space="preserve">PUCCH </w:t>
      </w:r>
    </w:p>
    <w:p>
      <w:pPr>
        <w:pStyle w:val="86"/>
        <w:numPr>
          <w:ilvl w:val="0"/>
          <w:numId w:val="22"/>
        </w:numPr>
        <w:tabs>
          <w:tab w:val="left" w:pos="425"/>
        </w:tabs>
        <w:spacing w:before="180"/>
        <w:ind w:left="420" w:leftChars="0" w:hanging="420" w:firstLineChars="0"/>
        <w:rPr>
          <w:rFonts w:hint="default"/>
          <w:lang w:val="en-US" w:eastAsia="zh-CN"/>
        </w:rPr>
      </w:pPr>
      <w:r>
        <w:rPr>
          <w:rFonts w:hint="eastAsia"/>
          <w:lang w:val="en-US" w:eastAsia="zh-CN"/>
        </w:rPr>
        <w:t>RB number</w:t>
      </w:r>
    </w:p>
    <w:p>
      <w:pPr>
        <w:pStyle w:val="32"/>
        <w:widowControl w:val="0"/>
        <w:snapToGrid w:val="0"/>
        <w:spacing w:after="156" w:afterLines="50" w:line="240" w:lineRule="auto"/>
        <w:jc w:val="both"/>
        <w:rPr>
          <w:rFonts w:hint="eastAsia" w:ascii="Times New Roman" w:hAnsi="Times New Roman" w:eastAsia="Times New Roman" w:cs="Times New Roman"/>
          <w:sz w:val="20"/>
          <w:szCs w:val="20"/>
          <w:lang w:val="en-US" w:eastAsia="zh-CN" w:bidi="ar-SA"/>
        </w:rPr>
      </w:pPr>
      <w:r>
        <w:rPr>
          <w:rFonts w:hint="eastAsia" w:ascii="Times New Roman" w:hAnsi="Times New Roman" w:eastAsia="Times New Roman" w:cs="Times New Roman"/>
          <w:sz w:val="20"/>
          <w:szCs w:val="20"/>
          <w:lang w:val="en-US" w:eastAsia="zh-CN" w:bidi="ar-SA"/>
        </w:rPr>
        <w:t>In RAN1#104-bis-e meeting, the maximum number of PRBs for PUCCH format 0/1/4 has not been determined completely. In order to obtain credible parameters to derive the maximum PRB number, RAN1 has sent an LS about the feasible maximum values of UE_EIRP and UE_P to RAN4.</w:t>
      </w:r>
    </w:p>
    <w:p>
      <w:pPr>
        <w:snapToGrid w:val="0"/>
        <w:spacing w:after="120" w:line="240" w:lineRule="auto"/>
        <w:jc w:val="both"/>
        <w:rPr>
          <w:rFonts w:eastAsia="Batang"/>
          <w:sz w:val="20"/>
          <w:szCs w:val="20"/>
          <w:lang w:val="en-US" w:eastAsia="zh-CN"/>
        </w:rPr>
      </w:pPr>
      <w:r>
        <w:rPr>
          <w:rFonts w:hint="eastAsia"/>
          <w:sz w:val="20"/>
          <w:szCs w:val="20"/>
          <w:lang w:val="en-US" w:eastAsia="zh-CN"/>
        </w:rPr>
        <w:t xml:space="preserve">The determination of PRB number allocated for PUCCH format 0/1/4 should take the power constraint, MIL and the waveform into consideration. Based on the agreement in RAN1#104-e meeting, the calculation of MIL is </w:t>
      </w:r>
      <w:r>
        <w:rPr>
          <w:rFonts w:eastAsia="Batang"/>
          <w:sz w:val="20"/>
          <w:szCs w:val="20"/>
          <w:lang w:eastAsia="zh-CN"/>
        </w:rPr>
        <w:t>MIL = P_TX – P_N – Required SNR + TxBF + RxBF</w:t>
      </w:r>
      <w:r>
        <w:rPr>
          <w:rFonts w:hint="eastAsia" w:eastAsia="Batang"/>
          <w:sz w:val="20"/>
          <w:szCs w:val="20"/>
          <w:lang w:val="en-US" w:eastAsia="zh-CN"/>
        </w:rPr>
        <w:t xml:space="preserve">. It can be inferred from the formula that TxBF and RxBF can be fixed, the variables are P_TX, P_N and required SNR. P_N goes up in proportion to bandwidth, while the </w:t>
      </w:r>
      <w:r>
        <w:rPr>
          <w:rFonts w:eastAsia="Batang"/>
          <w:sz w:val="20"/>
          <w:szCs w:val="20"/>
          <w:lang w:eastAsia="zh-CN"/>
        </w:rPr>
        <w:t>Required SNR</w:t>
      </w:r>
      <w:r>
        <w:rPr>
          <w:rFonts w:hint="eastAsia" w:eastAsia="Batang"/>
          <w:sz w:val="20"/>
          <w:szCs w:val="20"/>
          <w:lang w:val="en-US" w:eastAsia="zh-CN"/>
        </w:rPr>
        <w:t xml:space="preserve"> is inversely proportional to bandwidth. Thus the increased noise power P_N may be compensated by the gains brought by the increased bandwidth. Therefore the MIL is mainly depending on the P_TX. </w:t>
      </w:r>
    </w:p>
    <w:p>
      <w:pPr>
        <w:snapToGrid w:val="0"/>
        <w:spacing w:after="120" w:line="240" w:lineRule="auto"/>
        <w:jc w:val="both"/>
        <w:rPr>
          <w:rFonts w:eastAsia="Batang"/>
          <w:sz w:val="20"/>
          <w:szCs w:val="20"/>
          <w:lang w:val="en-US" w:eastAsia="zh-CN"/>
        </w:rPr>
      </w:pPr>
      <w:r>
        <w:rPr>
          <w:rFonts w:hint="eastAsia" w:eastAsia="Batang"/>
          <w:sz w:val="20"/>
          <w:szCs w:val="20"/>
          <w:lang w:val="en-US" w:eastAsia="zh-CN"/>
        </w:rPr>
        <w:t>In order to demonstrate the relations between the number of RB and P_TX, we take SCS equal to 120kHz as an example and provide the P_TX with different beamforming gain configuration in US, EU and Korea in Figure 2.3-1 and Figure 2.3-2.</w:t>
      </w:r>
    </w:p>
    <w:p>
      <w:pPr>
        <w:snapToGrid w:val="0"/>
        <w:spacing w:after="120" w:line="240" w:lineRule="auto"/>
        <w:jc w:val="center"/>
      </w:pPr>
      <w:r>
        <w:rPr>
          <w:lang w:val="en-US" w:eastAsia="zh-CN"/>
        </w:rPr>
        <w:drawing>
          <wp:inline distT="0" distB="0" distL="114300" distR="114300">
            <wp:extent cx="4479925" cy="1903730"/>
            <wp:effectExtent l="0" t="0" r="15875"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9"/>
                    <a:stretch>
                      <a:fillRect/>
                    </a:stretch>
                  </pic:blipFill>
                  <pic:spPr>
                    <a:xfrm>
                      <a:off x="0" y="0"/>
                      <a:ext cx="4479925" cy="1903730"/>
                    </a:xfrm>
                    <a:prstGeom prst="rect">
                      <a:avLst/>
                    </a:prstGeom>
                    <a:noFill/>
                    <a:ln w="9525">
                      <a:noFill/>
                    </a:ln>
                  </pic:spPr>
                </pic:pic>
              </a:graphicData>
            </a:graphic>
          </wp:inline>
        </w:drawing>
      </w:r>
    </w:p>
    <w:p>
      <w:pPr>
        <w:pStyle w:val="32"/>
        <w:widowControl w:val="0"/>
        <w:snapToGrid w:val="0"/>
        <w:spacing w:after="156" w:afterLines="50" w:line="240" w:lineRule="auto"/>
        <w:jc w:val="center"/>
        <w:rPr>
          <w:rFonts w:eastAsia="宋体"/>
          <w:sz w:val="20"/>
          <w:szCs w:val="20"/>
          <w:lang w:val="en-US" w:eastAsia="zh-CN"/>
        </w:rPr>
      </w:pPr>
      <w:r>
        <w:rPr>
          <w:rFonts w:hint="eastAsia" w:eastAsia="宋体"/>
          <w:sz w:val="20"/>
          <w:szCs w:val="20"/>
          <w:lang w:val="en-US" w:eastAsia="zh-CN"/>
        </w:rPr>
        <w:t>Figure 2.3-1. P_TX over different number of RBs in US, EU and Korea(with backoff=2dB)</w:t>
      </w:r>
    </w:p>
    <w:p>
      <w:pPr>
        <w:pStyle w:val="32"/>
        <w:widowControl w:val="0"/>
        <w:snapToGrid w:val="0"/>
        <w:spacing w:after="156" w:afterLines="50" w:line="240" w:lineRule="auto"/>
        <w:jc w:val="center"/>
        <w:rPr>
          <w:lang w:val="en-US" w:eastAsia="zh-CN"/>
        </w:rPr>
      </w:pPr>
      <w:r>
        <w:rPr>
          <w:lang w:val="en-US" w:eastAsia="zh-CN"/>
        </w:rPr>
        <w:drawing>
          <wp:inline distT="0" distB="0" distL="114300" distR="114300">
            <wp:extent cx="4544060" cy="1921510"/>
            <wp:effectExtent l="0" t="0" r="8890" b="2540"/>
            <wp:docPr id="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4"/>
                    <pic:cNvPicPr>
                      <a:picLocks noChangeAspect="1"/>
                    </pic:cNvPicPr>
                  </pic:nvPicPr>
                  <pic:blipFill>
                    <a:blip r:embed="rId30"/>
                    <a:stretch>
                      <a:fillRect/>
                    </a:stretch>
                  </pic:blipFill>
                  <pic:spPr>
                    <a:xfrm>
                      <a:off x="0" y="0"/>
                      <a:ext cx="4544060" cy="1921510"/>
                    </a:xfrm>
                    <a:prstGeom prst="rect">
                      <a:avLst/>
                    </a:prstGeom>
                    <a:noFill/>
                    <a:ln w="9525">
                      <a:noFill/>
                    </a:ln>
                  </pic:spPr>
                </pic:pic>
              </a:graphicData>
            </a:graphic>
          </wp:inline>
        </w:drawing>
      </w:r>
    </w:p>
    <w:p>
      <w:pPr>
        <w:pStyle w:val="32"/>
        <w:widowControl w:val="0"/>
        <w:snapToGrid w:val="0"/>
        <w:spacing w:after="156" w:afterLines="50" w:line="240" w:lineRule="auto"/>
        <w:jc w:val="center"/>
        <w:rPr>
          <w:rFonts w:eastAsia="宋体"/>
          <w:sz w:val="20"/>
          <w:szCs w:val="20"/>
          <w:lang w:val="en-US" w:eastAsia="zh-CN"/>
        </w:rPr>
      </w:pPr>
      <w:r>
        <w:rPr>
          <w:rFonts w:hint="eastAsia" w:eastAsia="宋体"/>
          <w:sz w:val="20"/>
          <w:szCs w:val="20"/>
          <w:lang w:val="en-US" w:eastAsia="zh-CN"/>
        </w:rPr>
        <w:t>Figure 2.3-2. P_TX over different number of RBs in US, EU and Korea(without backoff)</w:t>
      </w:r>
    </w:p>
    <w:p>
      <w:pPr>
        <w:snapToGrid w:val="0"/>
        <w:spacing w:after="120" w:line="240" w:lineRule="auto"/>
        <w:jc w:val="both"/>
        <w:rPr>
          <w:rFonts w:hint="eastAsia" w:eastAsia="Batang"/>
          <w:sz w:val="20"/>
          <w:szCs w:val="20"/>
          <w:lang w:val="en-US" w:eastAsia="zh-CN"/>
        </w:rPr>
      </w:pPr>
      <w:r>
        <w:rPr>
          <w:rFonts w:hint="eastAsia" w:eastAsia="Batang"/>
          <w:sz w:val="20"/>
          <w:szCs w:val="20"/>
          <w:lang w:val="en-US" w:eastAsia="zh-CN"/>
        </w:rPr>
        <w:t>Note: According to the agreements in RAN1 #104-e, P_TX = min(Pmax, UE_EIRP – TxBF, UE_P – Backoff)</w:t>
      </w:r>
      <w:r>
        <w:rPr>
          <w:rFonts w:hint="eastAsia" w:eastAsia="Batang"/>
          <w:sz w:val="20"/>
          <w:szCs w:val="20"/>
          <w:lang w:val="en-US" w:eastAsia="zh-CN"/>
        </w:rPr>
        <w:t>.</w:t>
      </w:r>
    </w:p>
    <w:p>
      <w:pPr>
        <w:snapToGrid w:val="0"/>
        <w:spacing w:after="120" w:line="240" w:lineRule="auto"/>
        <w:jc w:val="both"/>
        <w:rPr>
          <w:rFonts w:hint="eastAsia" w:eastAsia="Batang"/>
          <w:sz w:val="20"/>
          <w:szCs w:val="20"/>
          <w:lang w:val="en-US" w:eastAsia="zh-CN"/>
        </w:rPr>
      </w:pPr>
      <w:r>
        <w:rPr>
          <w:rFonts w:hint="eastAsia" w:eastAsia="Batang"/>
          <w:sz w:val="20"/>
          <w:szCs w:val="20"/>
          <w:lang w:val="en-US" w:eastAsia="zh-CN"/>
        </w:rPr>
        <w:t>In Figure 2.3-1, the backoff (CM of Alt-1 sequence) is taken into consideration, in Figure 2.3-2, the backoff is not included. It can be seen that, when the TxBF is counted in Korea, the P_TX is identical to that in US. In EU, due to the max PSD 23dBm/MHz, and the the bandwidth of one PRB with 120kHz SCS is more than 1MHz, the P_max in EU is more than 23dBm even with one PRB. With the current UE_EIRP and UE_P configuration, P_TX is depending on the UE_P, and is a constant in EU.</w:t>
      </w:r>
    </w:p>
    <w:p>
      <w:pPr>
        <w:widowControl w:val="0"/>
        <w:snapToGrid w:val="0"/>
        <w:spacing w:line="240" w:lineRule="auto"/>
        <w:jc w:val="both"/>
        <w:rPr>
          <w:rFonts w:eastAsia="宋体"/>
          <w:sz w:val="20"/>
          <w:szCs w:val="20"/>
          <w:lang w:val="en-US" w:eastAsia="zh-CN"/>
        </w:rPr>
      </w:pPr>
      <w:r>
        <w:rPr>
          <w:rFonts w:hint="eastAsia" w:eastAsia="宋体"/>
          <w:b/>
          <w:bCs/>
          <w:sz w:val="20"/>
          <w:szCs w:val="20"/>
          <w:lang w:val="en-US" w:eastAsia="zh-CN"/>
        </w:rPr>
        <w:t>Observation 6</w:t>
      </w:r>
      <w:r>
        <w:rPr>
          <w:rFonts w:eastAsia="宋体"/>
          <w:b/>
          <w:bCs/>
          <w:sz w:val="20"/>
          <w:szCs w:val="20"/>
          <w:lang w:val="en-US" w:eastAsia="zh-CN"/>
        </w:rPr>
        <w:t>:</w:t>
      </w:r>
      <w:r>
        <w:rPr>
          <w:rFonts w:hint="eastAsia" w:eastAsia="宋体"/>
          <w:b/>
          <w:bCs/>
          <w:sz w:val="20"/>
          <w:szCs w:val="20"/>
          <w:lang w:val="en-US" w:eastAsia="zh-CN"/>
        </w:rPr>
        <w:t xml:space="preserve"> On the condition of UE_EIRP = 25 and UE_P = 21, P_TX (or MIL) has an upper bound. In US and Korea, P_TX is increased with the PRB number up to about 19 dBm or 21 dBm, and in EU, P_TX is nearly a constant independent of the bandwidth. </w:t>
      </w:r>
    </w:p>
    <w:p>
      <w:pPr>
        <w:snapToGrid w:val="0"/>
        <w:spacing w:after="120" w:line="240" w:lineRule="auto"/>
        <w:jc w:val="both"/>
        <w:rPr>
          <w:rFonts w:hint="eastAsia" w:eastAsia="Batang"/>
          <w:sz w:val="20"/>
          <w:szCs w:val="20"/>
          <w:lang w:val="en-US" w:eastAsia="zh-CN"/>
        </w:rPr>
      </w:pPr>
      <w:r>
        <w:rPr>
          <w:rFonts w:hint="eastAsia" w:eastAsia="Batang"/>
          <w:sz w:val="20"/>
          <w:szCs w:val="20"/>
          <w:lang w:val="en-US" w:eastAsia="zh-CN"/>
        </w:rPr>
        <w:t>Based on the analysis above, P_TX or MIL is subject to the UE_EIRP and UE_P. If UE_EIRP and UE_P are increased, P_TX or MIL can be increased accordingly. Increasing the UE_P to 25, UE_EIRP=40, the P_TX over the number of PRB is shown in the left part of Figure 2.3-3. In the right part of Figure 3, both of the UE_EIRP and UE_P are set to 40dBm.</w:t>
      </w:r>
    </w:p>
    <w:p>
      <w:pPr>
        <w:pStyle w:val="32"/>
        <w:widowControl w:val="0"/>
        <w:snapToGrid w:val="0"/>
        <w:spacing w:after="156" w:afterLines="50" w:line="240" w:lineRule="auto"/>
        <w:jc w:val="center"/>
      </w:pPr>
      <w:r>
        <w:rPr>
          <w:lang w:val="en-US" w:eastAsia="zh-CN"/>
        </w:rPr>
        <w:drawing>
          <wp:inline distT="0" distB="0" distL="114300" distR="114300">
            <wp:extent cx="4979670" cy="2099310"/>
            <wp:effectExtent l="0" t="0" r="11430"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1"/>
                    <a:stretch>
                      <a:fillRect/>
                    </a:stretch>
                  </pic:blipFill>
                  <pic:spPr>
                    <a:xfrm>
                      <a:off x="0" y="0"/>
                      <a:ext cx="4979670" cy="2099310"/>
                    </a:xfrm>
                    <a:prstGeom prst="rect">
                      <a:avLst/>
                    </a:prstGeom>
                    <a:noFill/>
                    <a:ln w="9525">
                      <a:noFill/>
                    </a:ln>
                  </pic:spPr>
                </pic:pic>
              </a:graphicData>
            </a:graphic>
          </wp:inline>
        </w:drawing>
      </w:r>
    </w:p>
    <w:p>
      <w:pPr>
        <w:pStyle w:val="32"/>
        <w:widowControl w:val="0"/>
        <w:snapToGrid w:val="0"/>
        <w:spacing w:after="156" w:afterLines="50" w:line="240" w:lineRule="auto"/>
        <w:jc w:val="center"/>
        <w:rPr>
          <w:rFonts w:eastAsia="宋体"/>
          <w:sz w:val="20"/>
          <w:szCs w:val="20"/>
          <w:lang w:val="en-US" w:eastAsia="zh-CN"/>
        </w:rPr>
      </w:pPr>
      <w:r>
        <w:rPr>
          <w:rFonts w:hint="eastAsia" w:eastAsia="宋体"/>
          <w:sz w:val="20"/>
          <w:szCs w:val="20"/>
          <w:lang w:val="en-US" w:eastAsia="zh-CN"/>
        </w:rPr>
        <w:t>Figure 2.3-3. P_TX over different number of RBs in US,EU and Korea with higher UE_EIRP and UE_P</w:t>
      </w:r>
    </w:p>
    <w:p>
      <w:pPr>
        <w:snapToGrid w:val="0"/>
        <w:spacing w:after="120" w:line="240" w:lineRule="auto"/>
        <w:jc w:val="both"/>
        <w:rPr>
          <w:rFonts w:hint="eastAsia" w:eastAsia="Batang"/>
          <w:sz w:val="20"/>
          <w:szCs w:val="20"/>
          <w:lang w:val="en-US" w:eastAsia="zh-CN"/>
        </w:rPr>
      </w:pPr>
      <w:r>
        <w:rPr>
          <w:rFonts w:hint="eastAsia" w:eastAsia="Batang"/>
          <w:sz w:val="20"/>
          <w:szCs w:val="20"/>
          <w:lang w:val="en-US" w:eastAsia="zh-CN"/>
        </w:rPr>
        <w:t>From Figure 2.3-3, we can see that the required number of PRBs can be increased by increasing the UE_EIRP and UE_P.</w:t>
      </w:r>
    </w:p>
    <w:p>
      <w:pPr>
        <w:snapToGrid w:val="0"/>
        <w:spacing w:after="120" w:line="240" w:lineRule="auto"/>
        <w:jc w:val="both"/>
        <w:rPr>
          <w:rFonts w:hint="eastAsia" w:eastAsia="Batang"/>
          <w:sz w:val="20"/>
          <w:szCs w:val="20"/>
          <w:lang w:val="en-US" w:eastAsia="zh-CN"/>
        </w:rPr>
      </w:pPr>
      <w:r>
        <w:rPr>
          <w:rFonts w:hint="eastAsia" w:eastAsia="Batang"/>
          <w:sz w:val="20"/>
          <w:szCs w:val="20"/>
          <w:lang w:val="en-US" w:eastAsia="zh-CN"/>
        </w:rPr>
        <w:t xml:space="preserve">In Figure 2.3-4, we provide the MIL of different UE_EIRP and UE_P configuration in US, TxBF=0dB. In our simulation, Alt-1 sequence is selected, and the backoffs(CM) are according to the simulation results for different sequence length. </w:t>
      </w:r>
    </w:p>
    <w:p>
      <w:pPr>
        <w:pStyle w:val="32"/>
        <w:widowControl w:val="0"/>
        <w:snapToGrid w:val="0"/>
        <w:spacing w:after="156" w:afterLines="50" w:line="240" w:lineRule="auto"/>
        <w:jc w:val="center"/>
      </w:pPr>
      <w:r>
        <w:rPr>
          <w:lang w:val="en-US" w:eastAsia="zh-CN"/>
        </w:rPr>
        <w:drawing>
          <wp:inline distT="0" distB="0" distL="114300" distR="114300">
            <wp:extent cx="5265420" cy="1033780"/>
            <wp:effectExtent l="0" t="0" r="11430" b="1397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265420" cy="1033780"/>
                    </a:xfrm>
                    <a:prstGeom prst="rect">
                      <a:avLst/>
                    </a:prstGeom>
                    <a:noFill/>
                    <a:ln w="9525">
                      <a:noFill/>
                    </a:ln>
                  </pic:spPr>
                </pic:pic>
              </a:graphicData>
            </a:graphic>
          </wp:inline>
        </w:drawing>
      </w:r>
    </w:p>
    <w:p>
      <w:pPr>
        <w:pStyle w:val="32"/>
        <w:widowControl w:val="0"/>
        <w:snapToGrid w:val="0"/>
        <w:spacing w:after="156" w:afterLines="50" w:line="240" w:lineRule="auto"/>
        <w:jc w:val="center"/>
        <w:rPr>
          <w:rFonts w:eastAsia="宋体"/>
          <w:sz w:val="20"/>
          <w:szCs w:val="20"/>
          <w:lang w:val="en-US" w:eastAsia="zh-CN"/>
        </w:rPr>
      </w:pPr>
      <w:r>
        <w:rPr>
          <w:rFonts w:hint="eastAsia" w:eastAsia="宋体"/>
          <w:sz w:val="20"/>
          <w:szCs w:val="20"/>
          <w:lang w:val="en-US" w:eastAsia="zh-CN"/>
        </w:rPr>
        <w:t xml:space="preserve">Figure 2.3-4. MIL with different UE_EIRP and UE_P </w:t>
      </w:r>
    </w:p>
    <w:p>
      <w:pPr>
        <w:snapToGrid w:val="0"/>
        <w:spacing w:after="120" w:line="240" w:lineRule="auto"/>
        <w:jc w:val="both"/>
        <w:rPr>
          <w:rFonts w:hint="eastAsia" w:eastAsia="Batang"/>
          <w:sz w:val="20"/>
          <w:szCs w:val="20"/>
          <w:lang w:val="en-US" w:eastAsia="zh-CN"/>
        </w:rPr>
      </w:pPr>
      <w:r>
        <w:rPr>
          <w:rFonts w:hint="eastAsia" w:eastAsia="Batang"/>
          <w:sz w:val="20"/>
          <w:szCs w:val="20"/>
          <w:lang w:val="en-US" w:eastAsia="zh-CN"/>
        </w:rPr>
        <w:t>Note: In Figure 2.3-4, the orange columns are for the parameters{UE_EIRP=25dBm,UE_P=21dBm} .And the gray columns are for the parameters of {UE_EIRP=40dBm,UE_P=25dBm}.</w:t>
      </w:r>
    </w:p>
    <w:p>
      <w:pPr>
        <w:widowControl w:val="0"/>
        <w:snapToGrid w:val="0"/>
        <w:spacing w:line="240" w:lineRule="auto"/>
        <w:jc w:val="both"/>
        <w:rPr>
          <w:rFonts w:hint="eastAsia" w:eastAsia="宋体"/>
          <w:b/>
          <w:bCs/>
          <w:sz w:val="20"/>
          <w:szCs w:val="20"/>
          <w:lang w:val="en-US" w:eastAsia="zh-CN"/>
        </w:rPr>
      </w:pPr>
      <w:r>
        <w:rPr>
          <w:rFonts w:hint="eastAsia" w:eastAsia="宋体"/>
          <w:b/>
          <w:bCs/>
          <w:sz w:val="20"/>
          <w:szCs w:val="20"/>
          <w:lang w:val="en-US" w:eastAsia="zh-CN"/>
        </w:rPr>
        <w:t>Observation 7</w:t>
      </w:r>
      <w:r>
        <w:rPr>
          <w:rFonts w:eastAsia="宋体"/>
          <w:b/>
          <w:bCs/>
          <w:sz w:val="20"/>
          <w:szCs w:val="20"/>
          <w:lang w:val="en-US" w:eastAsia="zh-CN"/>
        </w:rPr>
        <w:t>:</w:t>
      </w:r>
      <w:r>
        <w:rPr>
          <w:rFonts w:hint="eastAsia" w:eastAsia="宋体"/>
          <w:b/>
          <w:bCs/>
          <w:sz w:val="20"/>
          <w:szCs w:val="20"/>
          <w:lang w:val="en-US" w:eastAsia="zh-CN"/>
        </w:rPr>
        <w:t xml:space="preserve"> By increasing UE_EIRP and UE_P simultaneously, the upper bound of P_TX (or MIL) will be larger, the number of PRBs will be increased. Setting UE_EIRP = 40dBm, UE_P = 25dBm, TxBF = 0dB, the number of PRBs will be 28 , 7 and 4 for 120kHz/480kHz/960kHz SCS respectively. </w:t>
      </w:r>
    </w:p>
    <w:p>
      <w:pPr>
        <w:widowControl/>
        <w:snapToGrid w:val="0"/>
        <w:spacing w:after="120" w:line="240" w:lineRule="auto"/>
        <w:jc w:val="both"/>
        <w:rPr>
          <w:rFonts w:hint="eastAsia" w:eastAsia="宋体"/>
          <w:b/>
          <w:bCs/>
          <w:sz w:val="20"/>
          <w:szCs w:val="20"/>
          <w:lang w:val="en-US" w:eastAsia="zh-CN"/>
        </w:rPr>
      </w:pPr>
      <w:r>
        <w:rPr>
          <w:rFonts w:hint="eastAsia" w:eastAsia="宋体"/>
          <w:b w:val="0"/>
          <w:bCs w:val="0"/>
          <w:sz w:val="20"/>
          <w:lang w:val="en-US" w:eastAsia="zh-CN"/>
        </w:rPr>
        <w:t>Till now, there is still no specific value for UE_EIRP and UE_P recommended in RAN 4</w:t>
      </w:r>
      <w:r>
        <w:rPr>
          <w:rFonts w:hint="default" w:eastAsia="宋体"/>
          <w:b w:val="0"/>
          <w:bCs w:val="0"/>
          <w:sz w:val="20"/>
          <w:lang w:val="en-US" w:eastAsia="zh-CN"/>
        </w:rPr>
        <w:t>’</w:t>
      </w:r>
      <w:r>
        <w:rPr>
          <w:rFonts w:hint="eastAsia" w:eastAsia="宋体"/>
          <w:b w:val="0"/>
          <w:bCs w:val="0"/>
          <w:sz w:val="20"/>
          <w:lang w:val="en-US" w:eastAsia="zh-CN"/>
        </w:rPr>
        <w:t>s reply. But as shown in Figure 3, the trend of P_TX reflects that MIL won</w:t>
      </w:r>
      <w:r>
        <w:rPr>
          <w:rFonts w:hint="default" w:eastAsia="宋体"/>
          <w:b w:val="0"/>
          <w:bCs w:val="0"/>
          <w:sz w:val="20"/>
          <w:lang w:val="en-US" w:eastAsia="zh-CN"/>
        </w:rPr>
        <w:t>’</w:t>
      </w:r>
      <w:r>
        <w:rPr>
          <w:rFonts w:hint="eastAsia" w:eastAsia="宋体"/>
          <w:b w:val="0"/>
          <w:bCs w:val="0"/>
          <w:sz w:val="20"/>
          <w:lang w:val="en-US" w:eastAsia="zh-CN"/>
        </w:rPr>
        <w:t>t always increase with the UE_EIRP and UE_P, and the number of PRB won</w:t>
      </w:r>
      <w:r>
        <w:rPr>
          <w:rFonts w:hint="default" w:eastAsia="宋体"/>
          <w:b w:val="0"/>
          <w:bCs w:val="0"/>
          <w:sz w:val="20"/>
          <w:lang w:val="en-US" w:eastAsia="zh-CN"/>
        </w:rPr>
        <w:t>’</w:t>
      </w:r>
      <w:r>
        <w:rPr>
          <w:rFonts w:hint="eastAsia" w:eastAsia="宋体"/>
          <w:b w:val="0"/>
          <w:bCs w:val="0"/>
          <w:sz w:val="20"/>
          <w:lang w:val="en-US" w:eastAsia="zh-CN"/>
        </w:rPr>
        <w:t xml:space="preserve">t either. Therefore, the upper boundary of the PRB number can be 32 or so.  </w:t>
      </w:r>
    </w:p>
    <w:p>
      <w:pPr>
        <w:pStyle w:val="32"/>
        <w:widowControl w:val="0"/>
        <w:numPr>
          <w:ilvl w:val="0"/>
          <w:numId w:val="22"/>
        </w:numPr>
        <w:spacing w:after="0" w:line="360" w:lineRule="auto"/>
        <w:ind w:left="420" w:leftChars="0" w:hanging="420" w:firstLineChars="0"/>
        <w:rPr>
          <w:rFonts w:hint="default" w:ascii="Times New Roman" w:hAnsi="Times New Roman" w:eastAsia="宋体" w:cs="Times New Roman"/>
          <w:b w:val="0"/>
          <w:bCs w:val="0"/>
          <w:sz w:val="20"/>
          <w:szCs w:val="22"/>
          <w:lang w:val="en-US" w:eastAsia="zh-CN" w:bidi="ar-SA"/>
        </w:rPr>
      </w:pPr>
      <w:r>
        <w:rPr>
          <w:rFonts w:hint="eastAsia" w:ascii="Times New Roman" w:hAnsi="Times New Roman" w:eastAsia="宋体" w:cs="Times New Roman"/>
          <w:b w:val="0"/>
          <w:bCs w:val="0"/>
          <w:sz w:val="20"/>
          <w:szCs w:val="22"/>
          <w:lang w:val="en-US" w:eastAsia="zh-CN" w:bidi="ar-SA"/>
        </w:rPr>
        <w:t>RE mapping</w:t>
      </w:r>
    </w:p>
    <w:p>
      <w:pPr>
        <w:snapToGrid w:val="0"/>
        <w:spacing w:after="120" w:line="240" w:lineRule="auto"/>
        <w:jc w:val="both"/>
      </w:pPr>
      <w:r>
        <w:rPr>
          <w:rFonts w:hint="eastAsia" w:eastAsia="宋体"/>
          <w:sz w:val="20"/>
          <w:szCs w:val="20"/>
          <w:lang w:val="en-US" w:eastAsia="zh-CN"/>
        </w:rPr>
        <w:t>As agreed in RAN1 #105-e, at least full-PRB mapping is supported for enhanced PF0/1 for both PUCCH resources before and after dedicated PUCCH resource configuration. The MIL of sub-PRB mapping for PF0 is provided, as shown in Figure 2.3-5. Although sub-PRB mapping is still FFS, considering the MIL performance and the spec effort to support 2 kinds of resource mapping, there is no need to further support sub-PRB mapping for PF0/1.</w:t>
      </w:r>
    </w:p>
    <w:p>
      <w:pPr>
        <w:snapToGrid w:val="0"/>
        <w:spacing w:after="120" w:line="240" w:lineRule="auto"/>
        <w:jc w:val="center"/>
      </w:pPr>
      <w:r>
        <w:rPr>
          <w:lang w:val="en-US" w:eastAsia="zh-CN"/>
        </w:rPr>
        <w:drawing>
          <wp:inline distT="0" distB="0" distL="114300" distR="114300">
            <wp:extent cx="3109595" cy="1811655"/>
            <wp:effectExtent l="0" t="0" r="14605" b="171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33"/>
                    <a:stretch>
                      <a:fillRect/>
                    </a:stretch>
                  </pic:blipFill>
                  <pic:spPr>
                    <a:xfrm>
                      <a:off x="0" y="0"/>
                      <a:ext cx="3109595" cy="1811655"/>
                    </a:xfrm>
                    <a:prstGeom prst="rect">
                      <a:avLst/>
                    </a:prstGeom>
                    <a:noFill/>
                    <a:ln w="9525">
                      <a:noFill/>
                    </a:ln>
                  </pic:spPr>
                </pic:pic>
              </a:graphicData>
            </a:graphic>
          </wp:inline>
        </w:drawing>
      </w:r>
    </w:p>
    <w:p>
      <w:pPr>
        <w:pStyle w:val="32"/>
        <w:widowControl w:val="0"/>
        <w:snapToGrid w:val="0"/>
        <w:spacing w:after="156" w:afterLines="50" w:line="240" w:lineRule="auto"/>
        <w:jc w:val="center"/>
      </w:pPr>
      <w:r>
        <w:rPr>
          <w:rFonts w:hint="eastAsia" w:eastAsia="宋体"/>
          <w:sz w:val="20"/>
          <w:szCs w:val="20"/>
          <w:lang w:val="en-US" w:eastAsia="zh-CN"/>
        </w:rPr>
        <w:t>Figure 2.3-5. MIL of full PRB mapping and sub-PRB mapping</w:t>
      </w:r>
    </w:p>
    <w:p>
      <w:pPr>
        <w:snapToGrid w:val="0"/>
        <w:spacing w:after="120" w:line="240" w:lineRule="auto"/>
        <w:jc w:val="both"/>
        <w:rPr>
          <w:rFonts w:hint="eastAsia" w:eastAsia="宋体"/>
          <w:sz w:val="20"/>
          <w:szCs w:val="20"/>
          <w:lang w:val="en-US" w:eastAsia="zh-CN"/>
        </w:rPr>
      </w:pPr>
      <w:r>
        <w:rPr>
          <w:rFonts w:hint="eastAsia" w:eastAsia="宋体"/>
          <w:sz w:val="20"/>
          <w:szCs w:val="20"/>
          <w:lang w:val="en-US" w:eastAsia="zh-CN"/>
        </w:rPr>
        <w:t xml:space="preserve">For PUCCH format 4, some companies[8] proposed a scheme of full-PRB for UCI and sub-PRB for DMRS, so we further evaluate the performance of sub-PRB mapping to compare with full PRB mapping for PF4 DMRS. </w:t>
      </w:r>
    </w:p>
    <w:p>
      <w:pPr>
        <w:snapToGrid w:val="0"/>
        <w:spacing w:after="120" w:line="240" w:lineRule="auto"/>
        <w:jc w:val="both"/>
        <w:rPr>
          <w:rFonts w:hint="eastAsia" w:eastAsia="宋体"/>
          <w:sz w:val="20"/>
          <w:szCs w:val="20"/>
          <w:lang w:val="en-US" w:eastAsia="zh-CN"/>
        </w:rPr>
      </w:pPr>
      <w:r>
        <w:rPr>
          <w:rFonts w:hint="eastAsia" w:eastAsia="宋体"/>
          <w:sz w:val="20"/>
          <w:szCs w:val="20"/>
          <w:lang w:val="en-US" w:eastAsia="zh-CN"/>
        </w:rPr>
        <w:t xml:space="preserve">In the following, we provide evaluation results about the scheme of case 3 as mentioned in [8]. For DMRS sub-PRB mapping, a long sequence(Alt-1) is used, and the DMRS is mapped every other RE in the allocated PRBs. And in order to analyze the effect of power, the MIL performance w/ and w/o power boosting are both evaluated with the parameters for USA, EU, south korea(SK1 denotes UE outside 300m, and SK2 denotes UE inside 300m). In Figure 2.3-6, the power boosting is not considered for DMRS, and in Figure 2.3-7, 3dB power boosting is used. </w:t>
      </w:r>
    </w:p>
    <w:p>
      <w:pPr>
        <w:snapToGrid w:val="0"/>
        <w:spacing w:after="120" w:line="240" w:lineRule="auto"/>
        <w:jc w:val="center"/>
      </w:pPr>
      <w:r>
        <w:drawing>
          <wp:inline distT="0" distB="0" distL="114300" distR="114300">
            <wp:extent cx="5260340" cy="1018540"/>
            <wp:effectExtent l="0" t="0" r="1651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4"/>
                    <a:stretch>
                      <a:fillRect/>
                    </a:stretch>
                  </pic:blipFill>
                  <pic:spPr>
                    <a:xfrm>
                      <a:off x="0" y="0"/>
                      <a:ext cx="5260340" cy="1018540"/>
                    </a:xfrm>
                    <a:prstGeom prst="rect">
                      <a:avLst/>
                    </a:prstGeom>
                    <a:noFill/>
                    <a:ln w="9525">
                      <a:noFill/>
                    </a:ln>
                  </pic:spPr>
                </pic:pic>
              </a:graphicData>
            </a:graphic>
          </wp:inline>
        </w:drawing>
      </w:r>
    </w:p>
    <w:p>
      <w:pPr>
        <w:snapToGrid w:val="0"/>
        <w:spacing w:after="120" w:line="240" w:lineRule="auto"/>
        <w:jc w:val="center"/>
      </w:pPr>
      <w:r>
        <w:rPr>
          <w:rFonts w:hint="eastAsia" w:eastAsia="宋体"/>
          <w:sz w:val="20"/>
          <w:szCs w:val="20"/>
          <w:lang w:val="en-US" w:eastAsia="zh-CN"/>
        </w:rPr>
        <w:t>Figure 2.3-6. MIL of PF4 with different UCI payload (w/o power boosting).</w:t>
      </w:r>
    </w:p>
    <w:p>
      <w:pPr>
        <w:snapToGrid w:val="0"/>
        <w:spacing w:after="120" w:line="240" w:lineRule="auto"/>
        <w:jc w:val="both"/>
        <w:rPr>
          <w:rFonts w:hint="eastAsia" w:eastAsia="宋体"/>
          <w:sz w:val="20"/>
          <w:szCs w:val="20"/>
          <w:lang w:val="en-US" w:eastAsia="zh-CN"/>
        </w:rPr>
      </w:pPr>
      <w:r>
        <w:rPr>
          <w:rFonts w:hint="eastAsia" w:eastAsia="宋体"/>
          <w:sz w:val="20"/>
          <w:szCs w:val="20"/>
          <w:lang w:val="en-US" w:eastAsia="zh-CN"/>
        </w:rPr>
        <w:t>From Figure 2.3-6, it can be seen that, under the condition without power boosting, the MIL performance of full-PRB mapping is better than that of sub-PRB mapping for PF4 DMRS.</w:t>
      </w:r>
    </w:p>
    <w:p>
      <w:pPr>
        <w:widowControl w:val="0"/>
        <w:snapToGrid w:val="0"/>
        <w:spacing w:after="180" w:line="240" w:lineRule="auto"/>
        <w:jc w:val="both"/>
        <w:rPr>
          <w:rFonts w:hint="eastAsia" w:eastAsia="宋体"/>
          <w:sz w:val="20"/>
          <w:szCs w:val="20"/>
          <w:lang w:val="en-US" w:eastAsia="zh-CN"/>
        </w:rPr>
      </w:pPr>
      <w:r>
        <w:rPr>
          <w:rFonts w:hint="eastAsia" w:eastAsia="宋体"/>
          <w:b/>
          <w:bCs/>
          <w:sz w:val="20"/>
          <w:szCs w:val="20"/>
          <w:lang w:val="en-US" w:eastAsia="zh-CN"/>
        </w:rPr>
        <w:t>Observation 8</w:t>
      </w:r>
      <w:r>
        <w:rPr>
          <w:rFonts w:eastAsia="宋体"/>
          <w:b/>
          <w:bCs/>
          <w:sz w:val="20"/>
          <w:szCs w:val="20"/>
          <w:lang w:val="en-US" w:eastAsia="zh-CN"/>
        </w:rPr>
        <w:t>:</w:t>
      </w:r>
      <w:r>
        <w:rPr>
          <w:rFonts w:hint="eastAsia" w:eastAsia="宋体"/>
          <w:b/>
          <w:bCs/>
          <w:sz w:val="20"/>
          <w:szCs w:val="20"/>
          <w:lang w:val="en-US" w:eastAsia="zh-CN"/>
        </w:rPr>
        <w:t xml:space="preserve"> Without power boosting, the MIL performance of full-PRB mapping is better than that of sub-PRB mapping for PF4 DMRS.</w:t>
      </w:r>
    </w:p>
    <w:p>
      <w:pPr>
        <w:snapToGrid w:val="0"/>
        <w:spacing w:after="120" w:line="240" w:lineRule="auto"/>
        <w:jc w:val="center"/>
      </w:pPr>
      <w:r>
        <w:drawing>
          <wp:inline distT="0" distB="0" distL="114300" distR="114300">
            <wp:extent cx="5262245" cy="1042035"/>
            <wp:effectExtent l="0" t="0" r="14605" b="571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35"/>
                    <a:stretch>
                      <a:fillRect/>
                    </a:stretch>
                  </pic:blipFill>
                  <pic:spPr>
                    <a:xfrm>
                      <a:off x="0" y="0"/>
                      <a:ext cx="5262245" cy="1042035"/>
                    </a:xfrm>
                    <a:prstGeom prst="rect">
                      <a:avLst/>
                    </a:prstGeom>
                    <a:noFill/>
                    <a:ln w="9525">
                      <a:noFill/>
                    </a:ln>
                  </pic:spPr>
                </pic:pic>
              </a:graphicData>
            </a:graphic>
          </wp:inline>
        </w:drawing>
      </w:r>
    </w:p>
    <w:p>
      <w:pPr>
        <w:snapToGrid w:val="0"/>
        <w:spacing w:after="120" w:line="240" w:lineRule="auto"/>
        <w:jc w:val="center"/>
      </w:pPr>
      <w:r>
        <w:rPr>
          <w:rFonts w:hint="eastAsia" w:eastAsia="宋体"/>
          <w:sz w:val="20"/>
          <w:szCs w:val="20"/>
          <w:lang w:val="en-US" w:eastAsia="zh-CN"/>
        </w:rPr>
        <w:t xml:space="preserve">Figure 2.3-7. MIL of PF4 with different UCI payload </w:t>
      </w:r>
    </w:p>
    <w:p>
      <w:pPr>
        <w:snapToGrid w:val="0"/>
        <w:spacing w:after="120" w:line="240" w:lineRule="auto"/>
        <w:jc w:val="both"/>
        <w:rPr>
          <w:rFonts w:hint="eastAsia" w:eastAsia="宋体"/>
          <w:sz w:val="20"/>
          <w:szCs w:val="20"/>
          <w:lang w:val="en-US" w:eastAsia="zh-CN"/>
        </w:rPr>
      </w:pPr>
      <w:r>
        <w:rPr>
          <w:rFonts w:hint="eastAsia" w:eastAsia="宋体"/>
          <w:sz w:val="20"/>
          <w:szCs w:val="20"/>
          <w:lang w:val="en-US" w:eastAsia="zh-CN"/>
        </w:rPr>
        <w:t>It can be obviously seen in Figure 2.3-7, the MIL performance of full-PRB and sub-PRB with power boosting is similar.</w:t>
      </w:r>
    </w:p>
    <w:p>
      <w:pPr>
        <w:widowControl w:val="0"/>
        <w:snapToGrid w:val="0"/>
        <w:spacing w:line="240" w:lineRule="auto"/>
        <w:jc w:val="both"/>
        <w:rPr>
          <w:rFonts w:eastAsia="宋体"/>
          <w:b/>
          <w:bCs/>
          <w:sz w:val="20"/>
          <w:szCs w:val="20"/>
          <w:lang w:val="en-US" w:eastAsia="zh-CN"/>
        </w:rPr>
      </w:pPr>
      <w:r>
        <w:rPr>
          <w:rFonts w:hint="eastAsia" w:eastAsia="宋体"/>
          <w:b/>
          <w:bCs/>
          <w:sz w:val="20"/>
          <w:szCs w:val="20"/>
          <w:lang w:val="en-US" w:eastAsia="zh-CN"/>
        </w:rPr>
        <w:t>Observation 9</w:t>
      </w:r>
      <w:r>
        <w:rPr>
          <w:rFonts w:eastAsia="宋体"/>
          <w:b/>
          <w:bCs/>
          <w:sz w:val="20"/>
          <w:szCs w:val="20"/>
          <w:lang w:val="en-US" w:eastAsia="zh-CN"/>
        </w:rPr>
        <w:t>:</w:t>
      </w:r>
      <w:r>
        <w:rPr>
          <w:rFonts w:hint="eastAsia" w:eastAsia="宋体"/>
          <w:b/>
          <w:bCs/>
          <w:sz w:val="20"/>
          <w:szCs w:val="20"/>
          <w:lang w:val="en-US" w:eastAsia="zh-CN"/>
        </w:rPr>
        <w:t xml:space="preserve"> With 3dB power boosting for sub-PRB DMRS mapping, the MIL performance of sub-PRB is similar to that of full-PRB.</w:t>
      </w:r>
    </w:p>
    <w:p>
      <w:pPr>
        <w:pStyle w:val="32"/>
        <w:widowControl w:val="0"/>
        <w:numPr>
          <w:ilvl w:val="0"/>
          <w:numId w:val="22"/>
        </w:numPr>
        <w:spacing w:after="0" w:line="360" w:lineRule="auto"/>
        <w:ind w:left="420" w:leftChars="0" w:hanging="420" w:firstLineChars="0"/>
        <w:rPr>
          <w:rFonts w:hint="default" w:ascii="Times New Roman" w:hAnsi="Times New Roman" w:eastAsia="宋体" w:cs="Times New Roman"/>
          <w:b w:val="0"/>
          <w:bCs w:val="0"/>
          <w:sz w:val="20"/>
          <w:szCs w:val="22"/>
          <w:lang w:val="en-US" w:eastAsia="zh-CN" w:bidi="ar-SA"/>
        </w:rPr>
      </w:pPr>
      <w:r>
        <w:rPr>
          <w:rFonts w:hint="eastAsia" w:ascii="Times New Roman" w:hAnsi="Times New Roman" w:eastAsia="宋体" w:cs="Times New Roman"/>
          <w:b w:val="0"/>
          <w:bCs w:val="0"/>
          <w:sz w:val="20"/>
          <w:szCs w:val="22"/>
          <w:lang w:val="en-US" w:eastAsia="zh-CN" w:bidi="ar-SA"/>
        </w:rPr>
        <w:t>Sequence design for PF0/1</w:t>
      </w:r>
    </w:p>
    <w:p>
      <w:pPr>
        <w:pStyle w:val="32"/>
        <w:widowControl w:val="0"/>
        <w:snapToGrid w:val="0"/>
        <w:spacing w:after="156" w:afterLines="50" w:line="240" w:lineRule="auto"/>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In R</w:t>
      </w:r>
      <w:r>
        <w:rPr>
          <w:rFonts w:hint="eastAsia" w:ascii="Times New Roman" w:hAnsi="Times New Roman" w:eastAsia="宋体" w:cs="Times New Roman"/>
          <w:sz w:val="20"/>
          <w:szCs w:val="20"/>
          <w:lang w:val="en-US" w:eastAsia="zh-CN" w:bidi="ar-SA"/>
        </w:rPr>
        <w:t xml:space="preserve">AN1#104-e, low PAPR sequence type1 was supported. And the following two alternatives are evaluated. </w:t>
      </w:r>
    </w:p>
    <w:p>
      <w:pPr>
        <w:pStyle w:val="32"/>
        <w:numPr>
          <w:ilvl w:val="0"/>
          <w:numId w:val="23"/>
        </w:numPr>
        <w:snapToGrid w:val="0"/>
        <w:spacing w:after="156" w:afterLines="50" w:line="240" w:lineRule="auto"/>
        <w:jc w:val="both"/>
        <w:rPr>
          <w:sz w:val="20"/>
        </w:rPr>
      </w:pPr>
      <w:r>
        <w:rPr>
          <w:sz w:val="20"/>
        </w:rPr>
        <w:t xml:space="preserve">Alt-1: A single sequence of length equal to the total number of mapped REs of of the PUCCH resource is used. Cyclic shifts for PF0/1 are defined in the same way as Rel-16 for the case that </w:t>
      </w:r>
      <w:r>
        <w:rPr>
          <w:i/>
          <w:iCs/>
          <w:sz w:val="20"/>
        </w:rPr>
        <w:t>useInterlacePUCCH-PUSCH</w:t>
      </w:r>
      <w:r>
        <w:rPr>
          <w:sz w:val="20"/>
        </w:rPr>
        <w:t xml:space="preserve"> is not configured.</w:t>
      </w:r>
    </w:p>
    <w:p>
      <w:pPr>
        <w:pStyle w:val="32"/>
        <w:numPr>
          <w:ilvl w:val="0"/>
          <w:numId w:val="23"/>
        </w:numPr>
        <w:snapToGrid w:val="0"/>
        <w:spacing w:after="156" w:afterLines="50" w:line="240" w:lineRule="auto"/>
        <w:jc w:val="both"/>
        <w:rPr>
          <w:sz w:val="20"/>
        </w:rPr>
      </w:pPr>
      <w:r>
        <w:rPr>
          <w:sz w:val="20"/>
        </w:rPr>
        <w:t>Alt-2: A single sequence of length equal to the number of mapped REs per RB of the PUCCH resource is used, and the sequence is repeated in each RB. At least the following scheme is considered for PAPR/CM reduction:</w:t>
      </w:r>
    </w:p>
    <w:p>
      <w:pPr>
        <w:pStyle w:val="32"/>
        <w:numPr>
          <w:ilvl w:val="1"/>
          <w:numId w:val="23"/>
        </w:numPr>
        <w:snapToGrid w:val="0"/>
        <w:spacing w:after="156" w:afterLines="50" w:line="240" w:lineRule="auto"/>
        <w:jc w:val="both"/>
        <w:rPr>
          <w:sz w:val="20"/>
        </w:rPr>
      </w:pPr>
      <w:r>
        <w:rPr>
          <w:sz w:val="20"/>
        </w:rPr>
        <w:t xml:space="preserve">Cycling of cyclic shifts across RBs in a similar way as for Rel-16 for PF0/1 for the case that </w:t>
      </w:r>
      <w:r>
        <w:rPr>
          <w:i/>
          <w:iCs/>
          <w:sz w:val="20"/>
        </w:rPr>
        <w:t>useInterlacePUCCH-PUSCH</w:t>
      </w:r>
      <w:r>
        <w:rPr>
          <w:sz w:val="20"/>
        </w:rPr>
        <w:t xml:space="preserve"> is configured</w:t>
      </w:r>
    </w:p>
    <w:p>
      <w:pPr>
        <w:pStyle w:val="32"/>
        <w:widowControl w:val="0"/>
        <w:snapToGrid w:val="0"/>
        <w:spacing w:after="156" w:afterLines="50" w:line="240" w:lineRule="auto"/>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In RAN1#104-bis-e, the two alternatives are warmly discussed, but no agreements are reached. And the majority of companies recognized the difference of the CM between the two alternatives as shown in Figure 2.3-8.</w:t>
      </w:r>
    </w:p>
    <w:p>
      <w:pPr>
        <w:pStyle w:val="32"/>
        <w:widowControl w:val="0"/>
        <w:snapToGrid w:val="0"/>
        <w:spacing w:after="156" w:afterLines="50" w:line="240" w:lineRule="auto"/>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In Figure 2.3-8, the CM values for the two alternatives are provided for PRB number from 1~40. And for SCS equal to 120kHz, the sequence is mapped in the all REs within each RB. We can see that the CM of Alt1 fluctuates in a small range of about 1dB for different PRB numbers. However, the CM value of Alt-2 fluctuates wildly, especially when the number of PRB is larger than 22, the CM value increases with the PRB number rapidly. In addition, for the PRB number 9~22, the CM of Alt2 is no larger than that of Alt1.</w:t>
      </w:r>
    </w:p>
    <w:p>
      <w:pPr>
        <w:pStyle w:val="32"/>
        <w:widowControl w:val="0"/>
        <w:snapToGrid w:val="0"/>
        <w:spacing w:after="156" w:afterLines="50" w:line="240" w:lineRule="auto"/>
        <w:jc w:val="center"/>
        <w:rPr>
          <w:sz w:val="20"/>
          <w:szCs w:val="20"/>
          <w:lang w:val="en-US" w:eastAsia="zh-CN"/>
        </w:rPr>
      </w:pPr>
      <w:r>
        <w:rPr>
          <w:lang w:val="en-US" w:eastAsia="zh-CN"/>
        </w:rPr>
        <w:drawing>
          <wp:inline distT="0" distB="0" distL="114300" distR="114300">
            <wp:extent cx="3280410" cy="2796540"/>
            <wp:effectExtent l="0" t="0" r="0" b="3810"/>
            <wp:docPr id="2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pic:cNvPicPr>
                      <a:picLocks noChangeAspect="1"/>
                    </pic:cNvPicPr>
                  </pic:nvPicPr>
                  <pic:blipFill>
                    <a:blip r:embed="rId36"/>
                    <a:srcRect l="4899" t="1607" r="4592" b="1221"/>
                    <a:stretch>
                      <a:fillRect/>
                    </a:stretch>
                  </pic:blipFill>
                  <pic:spPr>
                    <a:xfrm>
                      <a:off x="0" y="0"/>
                      <a:ext cx="3280410" cy="2796540"/>
                    </a:xfrm>
                    <a:prstGeom prst="rect">
                      <a:avLst/>
                    </a:prstGeom>
                    <a:noFill/>
                    <a:ln w="9525">
                      <a:noFill/>
                    </a:ln>
                  </pic:spPr>
                </pic:pic>
              </a:graphicData>
            </a:graphic>
          </wp:inline>
        </w:drawing>
      </w:r>
    </w:p>
    <w:p>
      <w:pPr>
        <w:pStyle w:val="32"/>
        <w:widowControl w:val="0"/>
        <w:snapToGrid w:val="0"/>
        <w:spacing w:after="156" w:afterLines="50" w:line="240" w:lineRule="auto"/>
        <w:jc w:val="center"/>
        <w:rPr>
          <w:rFonts w:eastAsia="宋体"/>
          <w:sz w:val="20"/>
          <w:szCs w:val="20"/>
          <w:lang w:val="en-US" w:eastAsia="zh-CN"/>
        </w:rPr>
      </w:pPr>
      <w:r>
        <w:rPr>
          <w:rFonts w:hint="eastAsia" w:eastAsia="宋体"/>
          <w:sz w:val="20"/>
          <w:szCs w:val="20"/>
          <w:lang w:val="en-US" w:eastAsia="zh-CN"/>
        </w:rPr>
        <w:t>Figure 2.3-8. CM compar</w:t>
      </w:r>
      <w:r>
        <w:rPr>
          <w:rFonts w:eastAsia="宋体"/>
          <w:sz w:val="20"/>
          <w:szCs w:val="20"/>
          <w:lang w:val="en-US" w:eastAsia="zh-CN"/>
        </w:rPr>
        <w:t>ison</w:t>
      </w:r>
      <w:r>
        <w:rPr>
          <w:rFonts w:hint="eastAsia" w:eastAsia="宋体"/>
          <w:sz w:val="20"/>
          <w:szCs w:val="20"/>
          <w:lang w:val="en-US" w:eastAsia="zh-CN"/>
        </w:rPr>
        <w:t xml:space="preserve"> of the two alternatives</w:t>
      </w:r>
    </w:p>
    <w:p>
      <w:pPr>
        <w:widowControl w:val="0"/>
        <w:snapToGrid w:val="0"/>
        <w:spacing w:after="156" w:afterLines="50" w:line="240" w:lineRule="auto"/>
        <w:jc w:val="both"/>
        <w:rPr>
          <w:rFonts w:eastAsia="宋体"/>
          <w:b/>
          <w:bCs/>
          <w:sz w:val="20"/>
          <w:szCs w:val="20"/>
          <w:lang w:val="en-US" w:eastAsia="zh-CN"/>
        </w:rPr>
      </w:pPr>
      <w:r>
        <w:rPr>
          <w:rFonts w:hint="eastAsia" w:eastAsia="宋体"/>
          <w:b/>
          <w:bCs/>
          <w:sz w:val="20"/>
          <w:szCs w:val="20"/>
          <w:lang w:val="en-US" w:eastAsia="zh-CN"/>
        </w:rPr>
        <w:t>Observation 10</w:t>
      </w:r>
      <w:r>
        <w:rPr>
          <w:rFonts w:eastAsia="宋体"/>
          <w:b/>
          <w:bCs/>
          <w:sz w:val="20"/>
          <w:szCs w:val="20"/>
          <w:lang w:val="en-US" w:eastAsia="zh-CN"/>
        </w:rPr>
        <w:t>:</w:t>
      </w:r>
      <w:r>
        <w:rPr>
          <w:rFonts w:hint="eastAsia" w:eastAsia="宋体"/>
          <w:b/>
          <w:bCs/>
          <w:sz w:val="20"/>
          <w:szCs w:val="20"/>
          <w:lang w:val="en-US" w:eastAsia="zh-CN"/>
        </w:rPr>
        <w:t xml:space="preserve"> When PRB number is 9~22, Alt2 with a cyclic shift step of 5 for each PRB has lower CM than that of Alt1 (ZC sequence);</w:t>
      </w:r>
      <w:r>
        <w:rPr>
          <w:rFonts w:eastAsia="宋体"/>
          <w:b/>
          <w:bCs/>
          <w:sz w:val="20"/>
          <w:szCs w:val="20"/>
          <w:lang w:val="en-US" w:eastAsia="zh-CN"/>
        </w:rPr>
        <w:t xml:space="preserve"> </w:t>
      </w:r>
      <w:r>
        <w:rPr>
          <w:rFonts w:hint="eastAsia" w:eastAsia="宋体"/>
          <w:b/>
          <w:bCs/>
          <w:sz w:val="20"/>
          <w:szCs w:val="20"/>
          <w:lang w:val="en-US" w:eastAsia="zh-CN"/>
        </w:rPr>
        <w:t>when PRB number is smaller than 9 or la</w:t>
      </w:r>
      <w:r>
        <w:rPr>
          <w:rFonts w:eastAsia="宋体"/>
          <w:b/>
          <w:bCs/>
          <w:sz w:val="20"/>
          <w:szCs w:val="20"/>
          <w:lang w:val="en-US" w:eastAsia="zh-CN"/>
        </w:rPr>
        <w:t>r</w:t>
      </w:r>
      <w:r>
        <w:rPr>
          <w:rFonts w:hint="eastAsia" w:eastAsia="宋体"/>
          <w:b/>
          <w:bCs/>
          <w:sz w:val="20"/>
          <w:szCs w:val="20"/>
          <w:lang w:val="en-US" w:eastAsia="zh-CN"/>
        </w:rPr>
        <w:t>ger than 22,</w:t>
      </w:r>
      <w:r>
        <w:rPr>
          <w:rFonts w:eastAsia="宋体"/>
          <w:b/>
          <w:bCs/>
          <w:sz w:val="20"/>
          <w:szCs w:val="20"/>
          <w:lang w:val="en-US" w:eastAsia="zh-CN"/>
        </w:rPr>
        <w:t xml:space="preserve"> </w:t>
      </w:r>
      <w:r>
        <w:rPr>
          <w:rFonts w:hint="eastAsia" w:eastAsia="宋体"/>
          <w:b/>
          <w:bCs/>
          <w:sz w:val="20"/>
          <w:szCs w:val="20"/>
          <w:lang w:val="en-US" w:eastAsia="zh-CN"/>
        </w:rPr>
        <w:t>Alt1 outperform</w:t>
      </w:r>
      <w:r>
        <w:rPr>
          <w:rFonts w:eastAsia="宋体"/>
          <w:b/>
          <w:bCs/>
          <w:sz w:val="20"/>
          <w:szCs w:val="20"/>
          <w:lang w:val="en-US" w:eastAsia="zh-CN"/>
        </w:rPr>
        <w:t>s</w:t>
      </w:r>
      <w:r>
        <w:rPr>
          <w:rFonts w:hint="eastAsia" w:eastAsia="宋体"/>
          <w:b/>
          <w:bCs/>
          <w:sz w:val="20"/>
          <w:szCs w:val="20"/>
          <w:lang w:val="en-US" w:eastAsia="zh-CN"/>
        </w:rPr>
        <w:t xml:space="preserve"> Alt2.</w:t>
      </w:r>
    </w:p>
    <w:p>
      <w:pPr>
        <w:widowControl w:val="0"/>
        <w:snapToGrid w:val="0"/>
        <w:spacing w:after="156" w:afterLines="50" w:line="240" w:lineRule="auto"/>
        <w:jc w:val="both"/>
        <w:rPr>
          <w:rFonts w:eastAsia="宋体"/>
          <w:sz w:val="20"/>
          <w:szCs w:val="20"/>
          <w:lang w:val="en-US" w:eastAsia="zh-CN"/>
        </w:rPr>
      </w:pPr>
      <w:r>
        <w:rPr>
          <w:rFonts w:hint="eastAsia" w:eastAsia="宋体"/>
          <w:sz w:val="20"/>
          <w:szCs w:val="20"/>
          <w:lang w:val="en-US" w:eastAsia="zh-CN"/>
        </w:rPr>
        <w:t xml:space="preserve">Based on the analysis above, considering the </w:t>
      </w:r>
      <w:r>
        <w:rPr>
          <w:rFonts w:eastAsia="宋体"/>
          <w:sz w:val="20"/>
          <w:szCs w:val="20"/>
          <w:lang w:val="en-US" w:eastAsia="zh-CN"/>
        </w:rPr>
        <w:t>flexible</w:t>
      </w:r>
      <w:r>
        <w:rPr>
          <w:rFonts w:hint="eastAsia" w:eastAsia="宋体"/>
          <w:sz w:val="20"/>
          <w:szCs w:val="20"/>
          <w:lang w:val="en-US" w:eastAsia="zh-CN"/>
        </w:rPr>
        <w:t xml:space="preserve"> range </w:t>
      </w:r>
      <w:r>
        <w:rPr>
          <w:rFonts w:eastAsia="宋体"/>
          <w:sz w:val="20"/>
          <w:szCs w:val="20"/>
          <w:lang w:val="en-US" w:eastAsia="zh-CN"/>
        </w:rPr>
        <w:t xml:space="preserve">of PRB </w:t>
      </w:r>
      <w:r>
        <w:rPr>
          <w:rFonts w:hint="eastAsia" w:eastAsia="宋体"/>
          <w:sz w:val="20"/>
          <w:szCs w:val="20"/>
          <w:lang w:val="en-US" w:eastAsia="zh-CN"/>
        </w:rPr>
        <w:t>value for the sequence choice for PUCCH format 0/1, Alt1 has an advantage over Alt2.</w:t>
      </w:r>
    </w:p>
    <w:p>
      <w:pPr>
        <w:pStyle w:val="32"/>
        <w:widowControl w:val="0"/>
        <w:snapToGrid w:val="0"/>
        <w:spacing w:after="156" w:afterLines="50" w:line="240" w:lineRule="auto"/>
        <w:jc w:val="both"/>
        <w:rPr>
          <w:rFonts w:hint="eastAsia" w:ascii="Times New Roman" w:hAnsi="Times New Roman" w:eastAsia="宋体" w:cs="Times New Roman"/>
          <w:sz w:val="20"/>
          <w:szCs w:val="20"/>
          <w:lang w:val="en-US" w:eastAsia="zh-CN" w:bidi="ar-SA"/>
        </w:rPr>
      </w:pPr>
      <w:r>
        <w:rPr>
          <w:rFonts w:hint="eastAsia" w:ascii="Times New Roman" w:hAnsi="Times New Roman" w:eastAsia="宋体" w:cs="Times New Roman"/>
          <w:sz w:val="20"/>
          <w:szCs w:val="20"/>
          <w:lang w:val="en-US" w:eastAsia="zh-CN" w:bidi="ar-SA"/>
        </w:rPr>
        <w:t>We also compare the detection performance and MIL of the two alternatives. The detection performance is shown in Figure 2.3-9, and the MIL is shown in Figure 2.3-10.</w:t>
      </w:r>
    </w:p>
    <w:p>
      <w:pPr>
        <w:snapToGrid w:val="0"/>
        <w:spacing w:after="156" w:afterLines="50" w:line="240" w:lineRule="auto"/>
        <w:jc w:val="center"/>
      </w:pPr>
      <w:r>
        <w:rPr>
          <w:lang w:val="en-US" w:eastAsia="zh-CN"/>
        </w:rPr>
        <w:drawing>
          <wp:inline distT="0" distB="0" distL="114300" distR="114300">
            <wp:extent cx="5269230" cy="1441450"/>
            <wp:effectExtent l="0" t="0" r="7620" b="635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37"/>
                    <a:stretch>
                      <a:fillRect/>
                    </a:stretch>
                  </pic:blipFill>
                  <pic:spPr>
                    <a:xfrm>
                      <a:off x="0" y="0"/>
                      <a:ext cx="5269230" cy="1441450"/>
                    </a:xfrm>
                    <a:prstGeom prst="rect">
                      <a:avLst/>
                    </a:prstGeom>
                    <a:noFill/>
                    <a:ln w="9525">
                      <a:noFill/>
                    </a:ln>
                  </pic:spPr>
                </pic:pic>
              </a:graphicData>
            </a:graphic>
          </wp:inline>
        </w:drawing>
      </w:r>
    </w:p>
    <w:p>
      <w:pPr>
        <w:pStyle w:val="32"/>
        <w:widowControl w:val="0"/>
        <w:snapToGrid w:val="0"/>
        <w:spacing w:after="156" w:afterLines="50" w:line="240" w:lineRule="auto"/>
        <w:jc w:val="center"/>
        <w:rPr>
          <w:rFonts w:eastAsia="宋体"/>
          <w:sz w:val="20"/>
          <w:szCs w:val="20"/>
          <w:lang w:val="en-US" w:eastAsia="zh-CN"/>
        </w:rPr>
      </w:pPr>
      <w:r>
        <w:rPr>
          <w:rFonts w:hint="eastAsia" w:eastAsia="宋体"/>
          <w:sz w:val="20"/>
          <w:szCs w:val="20"/>
          <w:lang w:val="en-US" w:eastAsia="zh-CN"/>
        </w:rPr>
        <w:t>Figure 2.3-9. detection performance compar</w:t>
      </w:r>
      <w:r>
        <w:rPr>
          <w:rFonts w:eastAsia="宋体"/>
          <w:sz w:val="20"/>
          <w:szCs w:val="20"/>
          <w:lang w:val="en-US" w:eastAsia="zh-CN"/>
        </w:rPr>
        <w:t>ison</w:t>
      </w:r>
      <w:r>
        <w:rPr>
          <w:rFonts w:hint="eastAsia" w:eastAsia="宋体"/>
          <w:sz w:val="20"/>
          <w:szCs w:val="20"/>
          <w:lang w:val="en-US" w:eastAsia="zh-CN"/>
        </w:rPr>
        <w:t xml:space="preserve"> of the two alternatives</w:t>
      </w:r>
    </w:p>
    <w:p>
      <w:pPr>
        <w:snapToGrid w:val="0"/>
        <w:spacing w:after="156" w:afterLines="50" w:line="240" w:lineRule="auto"/>
        <w:jc w:val="both"/>
        <w:rPr>
          <w:sz w:val="20"/>
          <w:szCs w:val="20"/>
          <w:lang w:val="en-US" w:eastAsia="zh-CN"/>
        </w:rPr>
      </w:pPr>
      <w:r>
        <w:rPr>
          <w:rFonts w:hint="eastAsia"/>
          <w:sz w:val="20"/>
          <w:szCs w:val="20"/>
          <w:lang w:val="en-US" w:eastAsia="zh-CN"/>
        </w:rPr>
        <w:t>In Figure 2.3-9, we can see the detection performance of the two types of sequences are almost the same.</w:t>
      </w:r>
    </w:p>
    <w:p>
      <w:pPr>
        <w:snapToGrid w:val="0"/>
        <w:spacing w:after="156" w:afterLines="50" w:line="240" w:lineRule="auto"/>
        <w:jc w:val="both"/>
        <w:rPr>
          <w:sz w:val="20"/>
          <w:szCs w:val="20"/>
        </w:rPr>
      </w:pPr>
      <w:r>
        <w:rPr>
          <w:rFonts w:hint="eastAsia"/>
          <w:sz w:val="20"/>
          <w:szCs w:val="20"/>
          <w:lang w:val="en-US" w:eastAsia="zh-CN"/>
        </w:rPr>
        <w:t>Base on the LLS, we calculate the MIL of the two alternatives in US or Korea with 6dB TxBF.</w:t>
      </w:r>
    </w:p>
    <w:p>
      <w:pPr>
        <w:snapToGrid w:val="0"/>
        <w:spacing w:after="156" w:afterLines="50" w:line="240" w:lineRule="auto"/>
        <w:jc w:val="center"/>
      </w:pPr>
      <w:r>
        <w:rPr>
          <w:lang w:val="en-US" w:eastAsia="zh-CN"/>
        </w:rPr>
        <w:drawing>
          <wp:inline distT="0" distB="0" distL="114300" distR="114300">
            <wp:extent cx="5269230" cy="1021080"/>
            <wp:effectExtent l="0" t="0" r="7620" b="762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38"/>
                    <a:stretch>
                      <a:fillRect/>
                    </a:stretch>
                  </pic:blipFill>
                  <pic:spPr>
                    <a:xfrm>
                      <a:off x="0" y="0"/>
                      <a:ext cx="5269230" cy="1021080"/>
                    </a:xfrm>
                    <a:prstGeom prst="rect">
                      <a:avLst/>
                    </a:prstGeom>
                    <a:noFill/>
                    <a:ln w="9525">
                      <a:noFill/>
                    </a:ln>
                  </pic:spPr>
                </pic:pic>
              </a:graphicData>
            </a:graphic>
          </wp:inline>
        </w:drawing>
      </w:r>
    </w:p>
    <w:p>
      <w:pPr>
        <w:pStyle w:val="32"/>
        <w:widowControl w:val="0"/>
        <w:snapToGrid w:val="0"/>
        <w:spacing w:after="156" w:afterLines="50" w:line="240" w:lineRule="auto"/>
        <w:jc w:val="center"/>
        <w:rPr>
          <w:rFonts w:eastAsia="宋体"/>
          <w:sz w:val="20"/>
          <w:lang w:val="en-US" w:eastAsia="zh-CN"/>
        </w:rPr>
      </w:pPr>
      <w:r>
        <w:rPr>
          <w:rFonts w:hint="eastAsia" w:eastAsia="宋体"/>
          <w:sz w:val="20"/>
          <w:lang w:val="en-US" w:eastAsia="zh-CN"/>
        </w:rPr>
        <w:t>Figure 2.3-10. MIL for different SCS and delay spread of the two alternatives</w:t>
      </w:r>
    </w:p>
    <w:p>
      <w:pPr>
        <w:snapToGrid w:val="0"/>
        <w:spacing w:after="156" w:afterLines="50" w:line="240" w:lineRule="auto"/>
        <w:jc w:val="both"/>
        <w:rPr>
          <w:rFonts w:hint="eastAsia"/>
          <w:sz w:val="20"/>
          <w:szCs w:val="20"/>
          <w:lang w:val="en-US" w:eastAsia="zh-CN"/>
        </w:rPr>
      </w:pPr>
      <w:r>
        <w:rPr>
          <w:rFonts w:hint="eastAsia"/>
          <w:sz w:val="20"/>
          <w:szCs w:val="20"/>
          <w:lang w:val="en-US" w:eastAsia="zh-CN"/>
        </w:rPr>
        <w:t>From Figure 2.3-10, we can see for SCS equal to 480kHz and 960kHz,the MIL of Alt-2 is lower than that of Alt-1.This is because the number of PRB is 2~3, the CM of Alt-2 is far larger than that of Alt-1 in this range, which result in the smaller MIL.</w:t>
      </w:r>
    </w:p>
    <w:p>
      <w:pPr>
        <w:widowControl w:val="0"/>
        <w:snapToGrid w:val="0"/>
        <w:spacing w:after="156" w:afterLines="50" w:line="240" w:lineRule="auto"/>
        <w:jc w:val="both"/>
        <w:rPr>
          <w:rFonts w:eastAsia="宋体"/>
          <w:b/>
          <w:bCs/>
          <w:sz w:val="20"/>
          <w:szCs w:val="20"/>
          <w:lang w:val="en-US" w:eastAsia="zh-CN"/>
        </w:rPr>
      </w:pPr>
      <w:r>
        <w:rPr>
          <w:rFonts w:hint="eastAsia" w:eastAsia="宋体"/>
          <w:b/>
          <w:bCs/>
          <w:sz w:val="20"/>
          <w:szCs w:val="20"/>
          <w:lang w:val="en-US" w:eastAsia="zh-CN"/>
        </w:rPr>
        <w:t>Observation 11</w:t>
      </w:r>
      <w:r>
        <w:rPr>
          <w:rFonts w:eastAsia="宋体"/>
          <w:b/>
          <w:bCs/>
          <w:sz w:val="20"/>
          <w:szCs w:val="20"/>
          <w:lang w:val="en-US" w:eastAsia="zh-CN"/>
        </w:rPr>
        <w:t>:</w:t>
      </w:r>
      <w:r>
        <w:rPr>
          <w:rFonts w:hint="eastAsia" w:eastAsia="宋体"/>
          <w:b/>
          <w:bCs/>
          <w:sz w:val="20"/>
          <w:szCs w:val="20"/>
          <w:lang w:val="en-US" w:eastAsia="zh-CN"/>
        </w:rPr>
        <w:t xml:space="preserve"> For SCS 120kHz and 12 PRBs, the MIL of the two alternatives are similar, for SCS 480kHz with 3PRBs and 960kHz with 2 PRBs, the MIL of Alt-1 is larger than that of Alt-2.</w:t>
      </w:r>
    </w:p>
    <w:p>
      <w:pPr>
        <w:pStyle w:val="32"/>
        <w:widowControl w:val="0"/>
        <w:numPr>
          <w:numId w:val="0"/>
        </w:numPr>
        <w:spacing w:after="0" w:line="360" w:lineRule="auto"/>
        <w:ind w:leftChars="0"/>
        <w:rPr>
          <w:rFonts w:hint="default" w:ascii="Times New Roman" w:hAnsi="Times New Roman" w:eastAsia="宋体" w:cs="Times New Roman"/>
          <w:b w:val="0"/>
          <w:bCs w:val="0"/>
          <w:sz w:val="20"/>
          <w:szCs w:val="22"/>
          <w:lang w:val="en-US" w:eastAsia="zh-CN" w:bidi="ar-SA"/>
        </w:rPr>
      </w:pPr>
    </w:p>
    <w:p>
      <w:pPr>
        <w:pStyle w:val="2"/>
        <w:numPr>
          <w:ilvl w:val="0"/>
          <w:numId w:val="13"/>
        </w:numPr>
        <w:rPr>
          <w:lang w:val="en-US" w:eastAsia="zh-CN"/>
        </w:rPr>
      </w:pPr>
      <w:r>
        <w:rPr>
          <w:rFonts w:hint="eastAsia"/>
          <w:lang w:val="en-US" w:eastAsia="zh-CN"/>
        </w:rPr>
        <w:t xml:space="preserve"> System level simulation results</w:t>
      </w:r>
    </w:p>
    <w:p>
      <w:pPr>
        <w:rPr>
          <w:rFonts w:hint="eastAsia"/>
          <w:lang w:val="en-US" w:eastAsia="zh-CN"/>
        </w:rPr>
      </w:pPr>
    </w:p>
    <w:p>
      <w:pPr>
        <w:pStyle w:val="3"/>
        <w:numPr>
          <w:ilvl w:val="1"/>
          <w:numId w:val="13"/>
        </w:numPr>
        <w:ind w:left="0" w:leftChars="0" w:firstLine="0" w:firstLineChars="0"/>
        <w:rPr>
          <w:rFonts w:hint="default"/>
          <w:lang w:val="en-US" w:eastAsia="zh-CN"/>
        </w:rPr>
      </w:pPr>
      <w:r>
        <w:rPr>
          <w:rFonts w:hint="eastAsia"/>
          <w:lang w:val="en-US" w:eastAsia="zh-CN"/>
        </w:rPr>
        <w:t xml:space="preserve"> Cat 2 LBT</w:t>
      </w:r>
    </w:p>
    <w:p>
      <w:pPr>
        <w:jc w:val="both"/>
        <w:rPr>
          <w:rFonts w:hint="eastAsia" w:eastAsia="宋体"/>
          <w:sz w:val="21"/>
          <w:szCs w:val="21"/>
          <w:lang w:val="en-US" w:eastAsia="zh-CN"/>
        </w:rPr>
      </w:pPr>
      <w:r>
        <w:rPr>
          <w:rFonts w:hint="eastAsia" w:eastAsia="宋体"/>
          <w:sz w:val="21"/>
          <w:szCs w:val="21"/>
          <w:lang w:val="en-US" w:eastAsia="zh-CN"/>
        </w:rPr>
        <w:t xml:space="preserve">For Cat 2 LBT, we think that the following several cases may need to consider/use Cat2 LBT: 1) COT sharing case; 2) Resuming transmission/beam switching situation; 3) Type B multi-channel access procedure; 4) Rx-assisted LBT when COT is initiated by transmitter. But there is no consensus on which case(s) are necessary to consider using Cat2 LBT or whether Cat2 LBT should be precluded to introduce in NR above 52.6GHz. Based on this, we provide a performance comparison of No LBT, Cat2 directional LBT and Cat2 omni LBT for COT sharing case in order to evaluate and demonstrate whether Cat2 LBT needs to be precluded for NR above 52.6GHz as shown in Figure 3.1-1. </w:t>
      </w:r>
    </w:p>
    <w:p>
      <w:pPr>
        <w:jc w:val="center"/>
        <w:rPr>
          <w:rFonts w:hint="eastAsia" w:eastAsia="宋体"/>
          <w:sz w:val="21"/>
          <w:szCs w:val="21"/>
          <w:lang w:val="en-US" w:eastAsia="zh-CN"/>
        </w:rPr>
      </w:pPr>
      <w:r>
        <w:rPr>
          <w:rFonts w:hint="eastAsia" w:eastAsia="宋体"/>
          <w:sz w:val="21"/>
          <w:szCs w:val="21"/>
          <w:lang w:val="en-US" w:eastAsia="zh-CN"/>
        </w:rPr>
        <w:drawing>
          <wp:inline distT="0" distB="0" distL="114300" distR="114300">
            <wp:extent cx="4024630" cy="3019425"/>
            <wp:effectExtent l="0" t="0" r="13970" b="9525"/>
            <wp:docPr id="31" name="图片 3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untitled"/>
                    <pic:cNvPicPr>
                      <a:picLocks noChangeAspect="1"/>
                    </pic:cNvPicPr>
                  </pic:nvPicPr>
                  <pic:blipFill>
                    <a:blip r:embed="rId39"/>
                    <a:stretch>
                      <a:fillRect/>
                    </a:stretch>
                  </pic:blipFill>
                  <pic:spPr>
                    <a:xfrm>
                      <a:off x="0" y="0"/>
                      <a:ext cx="4024630" cy="3019425"/>
                    </a:xfrm>
                    <a:prstGeom prst="rect">
                      <a:avLst/>
                    </a:prstGeom>
                  </pic:spPr>
                </pic:pic>
              </a:graphicData>
            </a:graphic>
          </wp:inline>
        </w:drawing>
      </w:r>
    </w:p>
    <w:p>
      <w:pPr>
        <w:ind w:firstLine="720"/>
        <w:jc w:val="center"/>
        <w:rPr>
          <w:rFonts w:hint="default" w:eastAsia="宋体"/>
          <w:sz w:val="21"/>
          <w:szCs w:val="21"/>
          <w:lang w:val="en-US" w:eastAsia="zh-CN"/>
        </w:rPr>
      </w:pPr>
      <w:r>
        <w:rPr>
          <w:rFonts w:hint="eastAsia" w:eastAsia="宋体"/>
          <w:sz w:val="21"/>
          <w:szCs w:val="21"/>
          <w:lang w:val="en-US" w:eastAsia="zh-CN"/>
        </w:rPr>
        <w:t>Figure 3.1-1.  DL UPT results for different channel access mechanism in high load case</w:t>
      </w:r>
    </w:p>
    <w:p>
      <w:pPr>
        <w:jc w:val="left"/>
        <w:rPr>
          <w:rFonts w:hint="default" w:eastAsia="宋体"/>
          <w:sz w:val="21"/>
          <w:szCs w:val="21"/>
          <w:lang w:val="en-US" w:eastAsia="zh-CN"/>
        </w:rPr>
      </w:pPr>
      <w:r>
        <w:rPr>
          <w:rFonts w:hint="eastAsia" w:eastAsia="宋体"/>
          <w:sz w:val="21"/>
          <w:szCs w:val="21"/>
          <w:lang w:val="en-US" w:eastAsia="zh-CN"/>
        </w:rPr>
        <w:t>We can observe from the above DL simulation result in Figure 3.1</w:t>
      </w:r>
      <w:bookmarkStart w:id="6" w:name="_GoBack"/>
      <w:bookmarkEnd w:id="6"/>
      <w:r>
        <w:rPr>
          <w:rFonts w:hint="eastAsia" w:eastAsia="宋体"/>
          <w:sz w:val="21"/>
          <w:szCs w:val="21"/>
          <w:lang w:val="en-US" w:eastAsia="zh-CN"/>
        </w:rPr>
        <w:t xml:space="preserve">-1 that the performance of the Cat 2 directional LBT is better than the performance of no LBT for high load case. Besides, Such results also reflect to some extent that Cat2 LBT should not be excluded in NR 52.6GHz and at least should be introduced in COT sharing case.  </w:t>
      </w:r>
    </w:p>
    <w:p>
      <w:pPr>
        <w:rPr>
          <w:rFonts w:hint="default"/>
          <w:b/>
          <w:bCs/>
          <w:lang w:val="en-US" w:eastAsia="zh-CN"/>
        </w:rPr>
      </w:pPr>
      <w:r>
        <w:rPr>
          <w:rFonts w:hint="eastAsia"/>
          <w:b/>
          <w:bCs/>
          <w:lang w:val="en-US" w:eastAsia="zh-CN"/>
        </w:rPr>
        <w:t>Observation 12: Cat 2 LBT shows better performance than no LBT at least in COT sharing case.</w:t>
      </w:r>
    </w:p>
    <w:p>
      <w:pPr>
        <w:pStyle w:val="2"/>
        <w:rPr>
          <w:rFonts w:hint="eastAsia"/>
          <w:lang w:val="en-US" w:eastAsia="zh-CN"/>
        </w:rPr>
      </w:pPr>
      <w:r>
        <w:rPr>
          <w:rFonts w:hint="eastAsia"/>
          <w:lang w:val="en-US" w:eastAsia="zh-CN"/>
        </w:rPr>
        <w:t>Conclusion</w:t>
      </w:r>
    </w:p>
    <w:p>
      <w:pPr>
        <w:pStyle w:val="86"/>
        <w:numPr>
          <w:ilvl w:val="0"/>
          <w:numId w:val="0"/>
        </w:numPr>
        <w:tabs>
          <w:tab w:val="left" w:pos="425"/>
        </w:tabs>
        <w:spacing w:before="180"/>
        <w:rPr>
          <w:rFonts w:hint="eastAsia"/>
          <w:lang w:val="en-US" w:eastAsia="zh-CN"/>
        </w:rPr>
      </w:pPr>
      <w:r>
        <w:rPr>
          <w:rFonts w:hint="eastAsia"/>
          <w:lang w:val="en-US" w:eastAsia="zh-CN"/>
        </w:rPr>
        <w:t>In</w:t>
      </w:r>
      <w:r>
        <w:rPr>
          <w:rFonts w:hint="eastAsia"/>
          <w:lang w:eastAsia="zh-CN"/>
        </w:rPr>
        <w:t xml:space="preserve"> </w:t>
      </w:r>
      <w:r>
        <w:rPr>
          <w:rFonts w:hint="eastAsia"/>
          <w:lang w:val="en-US" w:eastAsia="zh-CN"/>
        </w:rPr>
        <w:t>this contribution, we provide link level simulation results on PDSCH, PUSCH and PUCCH, as well as system level simulation results on channel access mechanism such as Cat2 LBT. Based on these results, the following observations are made:</w:t>
      </w:r>
    </w:p>
    <w:p>
      <w:pPr>
        <w:pStyle w:val="86"/>
        <w:numPr>
          <w:ilvl w:val="0"/>
          <w:numId w:val="24"/>
        </w:numPr>
        <w:tabs>
          <w:tab w:val="left" w:pos="425"/>
        </w:tabs>
        <w:spacing w:before="180"/>
        <w:ind w:left="420" w:leftChars="0" w:hanging="420" w:firstLineChars="0"/>
        <w:rPr>
          <w:rFonts w:hint="default"/>
          <w:lang w:val="en-US" w:eastAsia="zh-CN"/>
        </w:rPr>
      </w:pPr>
      <w:r>
        <w:rPr>
          <w:rFonts w:hint="eastAsia"/>
          <w:lang w:val="en-US" w:eastAsia="zh-CN"/>
        </w:rPr>
        <w:t>PUSCH/PDSCH</w:t>
      </w:r>
    </w:p>
    <w:p>
      <w:pPr>
        <w:rPr>
          <w:rFonts w:hint="eastAsia"/>
          <w:b/>
          <w:bCs/>
          <w:lang w:val="en-US" w:eastAsia="zh-CN"/>
        </w:rPr>
      </w:pPr>
      <w:r>
        <w:rPr>
          <w:rFonts w:hint="eastAsia"/>
          <w:b/>
          <w:bCs/>
          <w:lang w:val="en-US" w:eastAsia="zh-CN"/>
        </w:rPr>
        <w:t>Observation 1: Increasing PTRS groups for DFT-s-OFDM waveform can bring benefit to performance of 120kHz SCS and MCS 22.</w:t>
      </w:r>
    </w:p>
    <w:p>
      <w:pPr>
        <w:numPr>
          <w:ilvl w:val="0"/>
          <w:numId w:val="0"/>
        </w:numPr>
        <w:rPr>
          <w:rFonts w:hint="default"/>
          <w:b/>
          <w:bCs/>
          <w:i w:val="0"/>
          <w:iCs w:val="0"/>
          <w:lang w:val="en-US" w:eastAsia="zh-CN"/>
        </w:rPr>
      </w:pPr>
      <w:r>
        <w:rPr>
          <w:rFonts w:hint="eastAsia"/>
          <w:b/>
          <w:bCs/>
          <w:i w:val="0"/>
          <w:iCs w:val="0"/>
          <w:lang w:val="en-US" w:eastAsia="zh-CN"/>
        </w:rPr>
        <w:t>Observation 2: When PRB number is not larger than 32, CPE compensation with lower PTRS density can achieve similar or better performance than ICI compensation with higher PTRS density.</w:t>
      </w:r>
    </w:p>
    <w:p>
      <w:pPr>
        <w:rPr>
          <w:rFonts w:hint="eastAsia"/>
          <w:b/>
          <w:bCs/>
          <w:lang w:val="en-US" w:eastAsia="zh-CN"/>
        </w:rPr>
      </w:pPr>
      <w:r>
        <w:rPr>
          <w:rFonts w:hint="eastAsia"/>
          <w:b/>
          <w:bCs/>
          <w:lang w:val="en-US" w:eastAsia="zh-CN"/>
        </w:rPr>
        <w:t>Observation 3: Block PTRS with cyclic sequence cannot provide performance gain compared with legacy PTRS.</w:t>
      </w:r>
    </w:p>
    <w:p>
      <w:pPr>
        <w:jc w:val="both"/>
        <w:rPr>
          <w:rFonts w:eastAsia="宋体"/>
          <w:b/>
          <w:bCs/>
          <w:lang w:val="en-US" w:eastAsia="zh-CN"/>
        </w:rPr>
      </w:pPr>
      <w:r>
        <w:rPr>
          <w:rFonts w:hint="eastAsia" w:eastAsia="宋体"/>
          <w:b/>
          <w:bCs/>
          <w:lang w:val="en-US" w:eastAsia="zh-CN"/>
        </w:rPr>
        <w:t xml:space="preserve">Observation 4: Block PTRS with power boosting cannot achieve better performance than legacy PTRS. </w:t>
      </w:r>
    </w:p>
    <w:p>
      <w:pPr>
        <w:jc w:val="both"/>
        <w:rPr>
          <w:rFonts w:hint="eastAsia" w:eastAsia="宋体"/>
          <w:b/>
          <w:bCs/>
          <w:lang w:val="en-US" w:eastAsia="zh-CN"/>
        </w:rPr>
      </w:pPr>
      <w:r>
        <w:rPr>
          <w:rFonts w:hint="eastAsia" w:eastAsia="宋体"/>
          <w:b/>
          <w:bCs/>
          <w:lang w:val="en-US" w:eastAsia="zh-CN"/>
        </w:rPr>
        <w:t>Observation 5: With the same total RS power, Rel-15 DMRS Type 1</w:t>
      </w:r>
      <w:r>
        <w:rPr>
          <w:rFonts w:eastAsia="宋体"/>
          <w:b/>
          <w:bCs/>
          <w:lang w:val="en-US" w:eastAsia="zh-CN"/>
        </w:rPr>
        <w:t xml:space="preserve"> pattern</w:t>
      </w:r>
      <w:r>
        <w:rPr>
          <w:rFonts w:hint="eastAsia" w:eastAsia="宋体"/>
          <w:b/>
          <w:bCs/>
          <w:lang w:val="en-US" w:eastAsia="zh-CN"/>
        </w:rPr>
        <w:t xml:space="preserve"> and </w:t>
      </w:r>
      <w:r>
        <w:rPr>
          <w:rFonts w:eastAsia="宋体"/>
          <w:b/>
          <w:bCs/>
          <w:lang w:val="en-US" w:eastAsia="zh-CN"/>
        </w:rPr>
        <w:t xml:space="preserve">the </w:t>
      </w:r>
      <w:r>
        <w:rPr>
          <w:rFonts w:hint="eastAsia" w:eastAsia="宋体"/>
          <w:b/>
          <w:bCs/>
          <w:lang w:val="en-US" w:eastAsia="zh-CN"/>
        </w:rPr>
        <w:t xml:space="preserve">new DMRS pattern </w:t>
      </w:r>
      <w:r>
        <w:rPr>
          <w:rFonts w:eastAsia="宋体"/>
          <w:b/>
          <w:bCs/>
          <w:lang w:val="en-US" w:eastAsia="zh-CN"/>
        </w:rPr>
        <w:t xml:space="preserve">that fully occupied in frequency domain </w:t>
      </w:r>
      <w:r>
        <w:rPr>
          <w:rFonts w:hint="eastAsia" w:eastAsia="宋体"/>
          <w:b/>
          <w:bCs/>
          <w:lang w:val="en-US" w:eastAsia="zh-CN"/>
        </w:rPr>
        <w:t>show comparable performance.</w:t>
      </w:r>
    </w:p>
    <w:p>
      <w:pPr>
        <w:numPr>
          <w:ilvl w:val="0"/>
          <w:numId w:val="24"/>
        </w:numPr>
        <w:ind w:left="420" w:leftChars="0" w:hanging="420" w:firstLineChars="0"/>
        <w:jc w:val="both"/>
        <w:rPr>
          <w:rFonts w:hint="eastAsia" w:eastAsia="宋体"/>
          <w:b w:val="0"/>
          <w:bCs w:val="0"/>
          <w:lang w:val="en-US" w:eastAsia="zh-CN"/>
        </w:rPr>
      </w:pPr>
      <w:r>
        <w:rPr>
          <w:rFonts w:hint="eastAsia" w:eastAsia="宋体"/>
          <w:b w:val="0"/>
          <w:bCs w:val="0"/>
          <w:lang w:val="en-US" w:eastAsia="zh-CN"/>
        </w:rPr>
        <w:t>PUCCH</w:t>
      </w:r>
    </w:p>
    <w:p>
      <w:pPr>
        <w:widowControl w:val="0"/>
        <w:snapToGrid w:val="0"/>
        <w:spacing w:line="240" w:lineRule="auto"/>
        <w:jc w:val="both"/>
        <w:rPr>
          <w:rFonts w:eastAsia="宋体"/>
          <w:sz w:val="20"/>
          <w:szCs w:val="20"/>
          <w:lang w:val="en-US" w:eastAsia="zh-CN"/>
        </w:rPr>
      </w:pPr>
      <w:r>
        <w:rPr>
          <w:rFonts w:hint="eastAsia" w:eastAsia="宋体"/>
          <w:b/>
          <w:bCs/>
          <w:sz w:val="20"/>
          <w:szCs w:val="20"/>
          <w:lang w:val="en-US" w:eastAsia="zh-CN"/>
        </w:rPr>
        <w:t>Observation 6</w:t>
      </w:r>
      <w:r>
        <w:rPr>
          <w:rFonts w:eastAsia="宋体"/>
          <w:b/>
          <w:bCs/>
          <w:sz w:val="20"/>
          <w:szCs w:val="20"/>
          <w:lang w:val="en-US" w:eastAsia="zh-CN"/>
        </w:rPr>
        <w:t>:</w:t>
      </w:r>
      <w:r>
        <w:rPr>
          <w:rFonts w:hint="eastAsia" w:eastAsia="宋体"/>
          <w:b/>
          <w:bCs/>
          <w:sz w:val="20"/>
          <w:szCs w:val="20"/>
          <w:lang w:val="en-US" w:eastAsia="zh-CN"/>
        </w:rPr>
        <w:t xml:space="preserve"> On the condition of UE_EIRP = 25 and UE_P = 21, P_TX (or MIL) has an upper bound. In US and Korea, P_TX is increased with the PRB number up to about 19 dBm or 21 dBm, and in EU, P_TX is nearly a constant independent of the bandwidth. </w:t>
      </w:r>
    </w:p>
    <w:p>
      <w:pPr>
        <w:widowControl w:val="0"/>
        <w:snapToGrid w:val="0"/>
        <w:spacing w:line="240" w:lineRule="auto"/>
        <w:jc w:val="both"/>
        <w:rPr>
          <w:rFonts w:hint="eastAsia" w:eastAsia="宋体"/>
          <w:b/>
          <w:bCs/>
          <w:sz w:val="20"/>
          <w:szCs w:val="20"/>
          <w:lang w:val="en-US" w:eastAsia="zh-CN"/>
        </w:rPr>
      </w:pPr>
      <w:r>
        <w:rPr>
          <w:rFonts w:hint="eastAsia" w:eastAsia="宋体"/>
          <w:b/>
          <w:bCs/>
          <w:sz w:val="20"/>
          <w:szCs w:val="20"/>
          <w:lang w:val="en-US" w:eastAsia="zh-CN"/>
        </w:rPr>
        <w:t>Observation 7</w:t>
      </w:r>
      <w:r>
        <w:rPr>
          <w:rFonts w:eastAsia="宋体"/>
          <w:b/>
          <w:bCs/>
          <w:sz w:val="20"/>
          <w:szCs w:val="20"/>
          <w:lang w:val="en-US" w:eastAsia="zh-CN"/>
        </w:rPr>
        <w:t>:</w:t>
      </w:r>
      <w:r>
        <w:rPr>
          <w:rFonts w:hint="eastAsia" w:eastAsia="宋体"/>
          <w:b/>
          <w:bCs/>
          <w:sz w:val="20"/>
          <w:szCs w:val="20"/>
          <w:lang w:val="en-US" w:eastAsia="zh-CN"/>
        </w:rPr>
        <w:t xml:space="preserve"> By increasing UE_EIRP and UE_P simultaneously, the upper bound of P_TX (or MIL) will be larger, the number of PRBs will be increased. Setting UE_EIRP = 40dBm, UE_P = 25dBm, TxBF = 0dB, the number of PRBs will be 28 , 7 and 4 for 120kHz/480kHz/960kHz SCS respectively. </w:t>
      </w:r>
    </w:p>
    <w:p>
      <w:pPr>
        <w:widowControl w:val="0"/>
        <w:snapToGrid w:val="0"/>
        <w:spacing w:after="180" w:line="240" w:lineRule="auto"/>
        <w:jc w:val="both"/>
        <w:rPr>
          <w:rFonts w:hint="eastAsia" w:eastAsia="宋体"/>
          <w:sz w:val="20"/>
          <w:szCs w:val="20"/>
          <w:lang w:val="en-US" w:eastAsia="zh-CN"/>
        </w:rPr>
      </w:pPr>
      <w:r>
        <w:rPr>
          <w:rFonts w:hint="eastAsia" w:eastAsia="宋体"/>
          <w:b/>
          <w:bCs/>
          <w:sz w:val="20"/>
          <w:szCs w:val="20"/>
          <w:lang w:val="en-US" w:eastAsia="zh-CN"/>
        </w:rPr>
        <w:t>Observation 8</w:t>
      </w:r>
      <w:r>
        <w:rPr>
          <w:rFonts w:eastAsia="宋体"/>
          <w:b/>
          <w:bCs/>
          <w:sz w:val="20"/>
          <w:szCs w:val="20"/>
          <w:lang w:val="en-US" w:eastAsia="zh-CN"/>
        </w:rPr>
        <w:t>:</w:t>
      </w:r>
      <w:r>
        <w:rPr>
          <w:rFonts w:hint="eastAsia" w:eastAsia="宋体"/>
          <w:b/>
          <w:bCs/>
          <w:sz w:val="20"/>
          <w:szCs w:val="20"/>
          <w:lang w:val="en-US" w:eastAsia="zh-CN"/>
        </w:rPr>
        <w:t xml:space="preserve"> Without power boosting, the MIL performance of full-PRB mapping is better than that of sub-PRB mapping for PF4 DMRS.</w:t>
      </w:r>
    </w:p>
    <w:p>
      <w:pPr>
        <w:widowControl w:val="0"/>
        <w:snapToGrid w:val="0"/>
        <w:spacing w:line="240" w:lineRule="auto"/>
        <w:jc w:val="both"/>
        <w:rPr>
          <w:rFonts w:eastAsia="宋体"/>
          <w:b/>
          <w:bCs/>
          <w:sz w:val="20"/>
          <w:szCs w:val="20"/>
          <w:lang w:val="en-US" w:eastAsia="zh-CN"/>
        </w:rPr>
      </w:pPr>
      <w:r>
        <w:rPr>
          <w:rFonts w:hint="eastAsia" w:eastAsia="宋体"/>
          <w:b/>
          <w:bCs/>
          <w:sz w:val="20"/>
          <w:szCs w:val="20"/>
          <w:lang w:val="en-US" w:eastAsia="zh-CN"/>
        </w:rPr>
        <w:t>Observation 9</w:t>
      </w:r>
      <w:r>
        <w:rPr>
          <w:rFonts w:eastAsia="宋体"/>
          <w:b/>
          <w:bCs/>
          <w:sz w:val="20"/>
          <w:szCs w:val="20"/>
          <w:lang w:val="en-US" w:eastAsia="zh-CN"/>
        </w:rPr>
        <w:t>:</w:t>
      </w:r>
      <w:r>
        <w:rPr>
          <w:rFonts w:hint="eastAsia" w:eastAsia="宋体"/>
          <w:b/>
          <w:bCs/>
          <w:sz w:val="20"/>
          <w:szCs w:val="20"/>
          <w:lang w:val="en-US" w:eastAsia="zh-CN"/>
        </w:rPr>
        <w:t xml:space="preserve"> With 3dB power boosting for sub-PRB DMRS mapping, the MIL performance of sub-PRB is similar to that of full-PRB.</w:t>
      </w:r>
    </w:p>
    <w:p>
      <w:pPr>
        <w:widowControl w:val="0"/>
        <w:snapToGrid w:val="0"/>
        <w:spacing w:after="156" w:afterLines="50" w:line="240" w:lineRule="auto"/>
        <w:jc w:val="both"/>
        <w:rPr>
          <w:rFonts w:eastAsia="宋体"/>
          <w:b/>
          <w:bCs/>
          <w:sz w:val="20"/>
          <w:szCs w:val="20"/>
          <w:lang w:val="en-US" w:eastAsia="zh-CN"/>
        </w:rPr>
      </w:pPr>
      <w:r>
        <w:rPr>
          <w:rFonts w:hint="eastAsia" w:eastAsia="宋体"/>
          <w:b/>
          <w:bCs/>
          <w:sz w:val="20"/>
          <w:szCs w:val="20"/>
          <w:lang w:val="en-US" w:eastAsia="zh-CN"/>
        </w:rPr>
        <w:t>Observation 10</w:t>
      </w:r>
      <w:r>
        <w:rPr>
          <w:rFonts w:eastAsia="宋体"/>
          <w:b/>
          <w:bCs/>
          <w:sz w:val="20"/>
          <w:szCs w:val="20"/>
          <w:lang w:val="en-US" w:eastAsia="zh-CN"/>
        </w:rPr>
        <w:t>:</w:t>
      </w:r>
      <w:r>
        <w:rPr>
          <w:rFonts w:hint="eastAsia" w:eastAsia="宋体"/>
          <w:b/>
          <w:bCs/>
          <w:sz w:val="20"/>
          <w:szCs w:val="20"/>
          <w:lang w:val="en-US" w:eastAsia="zh-CN"/>
        </w:rPr>
        <w:t xml:space="preserve"> When PRB number is 9~22, Alt2 with a cyclic shift step of 5 for each PRB has lower CM than that of Alt1 (ZC sequence);</w:t>
      </w:r>
      <w:r>
        <w:rPr>
          <w:rFonts w:eastAsia="宋体"/>
          <w:b/>
          <w:bCs/>
          <w:sz w:val="20"/>
          <w:szCs w:val="20"/>
          <w:lang w:val="en-US" w:eastAsia="zh-CN"/>
        </w:rPr>
        <w:t xml:space="preserve"> </w:t>
      </w:r>
      <w:r>
        <w:rPr>
          <w:rFonts w:hint="eastAsia" w:eastAsia="宋体"/>
          <w:b/>
          <w:bCs/>
          <w:sz w:val="20"/>
          <w:szCs w:val="20"/>
          <w:lang w:val="en-US" w:eastAsia="zh-CN"/>
        </w:rPr>
        <w:t>when PRB number is smaller than 9 or la</w:t>
      </w:r>
      <w:r>
        <w:rPr>
          <w:rFonts w:eastAsia="宋体"/>
          <w:b/>
          <w:bCs/>
          <w:sz w:val="20"/>
          <w:szCs w:val="20"/>
          <w:lang w:val="en-US" w:eastAsia="zh-CN"/>
        </w:rPr>
        <w:t>r</w:t>
      </w:r>
      <w:r>
        <w:rPr>
          <w:rFonts w:hint="eastAsia" w:eastAsia="宋体"/>
          <w:b/>
          <w:bCs/>
          <w:sz w:val="20"/>
          <w:szCs w:val="20"/>
          <w:lang w:val="en-US" w:eastAsia="zh-CN"/>
        </w:rPr>
        <w:t>ger than 22,</w:t>
      </w:r>
      <w:r>
        <w:rPr>
          <w:rFonts w:eastAsia="宋体"/>
          <w:b/>
          <w:bCs/>
          <w:sz w:val="20"/>
          <w:szCs w:val="20"/>
          <w:lang w:val="en-US" w:eastAsia="zh-CN"/>
        </w:rPr>
        <w:t xml:space="preserve"> </w:t>
      </w:r>
      <w:r>
        <w:rPr>
          <w:rFonts w:hint="eastAsia" w:eastAsia="宋体"/>
          <w:b/>
          <w:bCs/>
          <w:sz w:val="20"/>
          <w:szCs w:val="20"/>
          <w:lang w:val="en-US" w:eastAsia="zh-CN"/>
        </w:rPr>
        <w:t>Alt1 outperform</w:t>
      </w:r>
      <w:r>
        <w:rPr>
          <w:rFonts w:eastAsia="宋体"/>
          <w:b/>
          <w:bCs/>
          <w:sz w:val="20"/>
          <w:szCs w:val="20"/>
          <w:lang w:val="en-US" w:eastAsia="zh-CN"/>
        </w:rPr>
        <w:t>s</w:t>
      </w:r>
      <w:r>
        <w:rPr>
          <w:rFonts w:hint="eastAsia" w:eastAsia="宋体"/>
          <w:b/>
          <w:bCs/>
          <w:sz w:val="20"/>
          <w:szCs w:val="20"/>
          <w:lang w:val="en-US" w:eastAsia="zh-CN"/>
        </w:rPr>
        <w:t xml:space="preserve"> Alt2.</w:t>
      </w:r>
    </w:p>
    <w:p>
      <w:pPr>
        <w:widowControl w:val="0"/>
        <w:snapToGrid w:val="0"/>
        <w:spacing w:after="156" w:afterLines="50" w:line="240" w:lineRule="auto"/>
        <w:jc w:val="both"/>
        <w:rPr>
          <w:rFonts w:hint="eastAsia" w:eastAsia="宋体"/>
          <w:b/>
          <w:bCs/>
          <w:sz w:val="20"/>
          <w:szCs w:val="20"/>
          <w:lang w:val="en-US" w:eastAsia="zh-CN"/>
        </w:rPr>
      </w:pPr>
      <w:r>
        <w:rPr>
          <w:rFonts w:hint="eastAsia" w:eastAsia="宋体"/>
          <w:b/>
          <w:bCs/>
          <w:sz w:val="20"/>
          <w:szCs w:val="20"/>
          <w:lang w:val="en-US" w:eastAsia="zh-CN"/>
        </w:rPr>
        <w:t>Observation 11</w:t>
      </w:r>
      <w:r>
        <w:rPr>
          <w:rFonts w:eastAsia="宋体"/>
          <w:b/>
          <w:bCs/>
          <w:sz w:val="20"/>
          <w:szCs w:val="20"/>
          <w:lang w:val="en-US" w:eastAsia="zh-CN"/>
        </w:rPr>
        <w:t>:</w:t>
      </w:r>
      <w:r>
        <w:rPr>
          <w:rFonts w:hint="eastAsia" w:eastAsia="宋体"/>
          <w:b/>
          <w:bCs/>
          <w:sz w:val="20"/>
          <w:szCs w:val="20"/>
          <w:lang w:val="en-US" w:eastAsia="zh-CN"/>
        </w:rPr>
        <w:t xml:space="preserve"> For SCS 120kHz and 12 PRBs, the MIL of the two alternatives are similar, for SCS 480kHz with 3PRBs and 960kHz with 2 PRBs, the MIL of Alt-1 is larger than that of Alt-2.</w:t>
      </w:r>
    </w:p>
    <w:p>
      <w:pPr>
        <w:widowControl w:val="0"/>
        <w:numPr>
          <w:ilvl w:val="0"/>
          <w:numId w:val="24"/>
        </w:numPr>
        <w:snapToGrid w:val="0"/>
        <w:spacing w:after="156" w:afterLines="50" w:line="240" w:lineRule="auto"/>
        <w:ind w:left="420" w:leftChars="0" w:hanging="420" w:firstLineChars="0"/>
        <w:jc w:val="both"/>
        <w:rPr>
          <w:rFonts w:hint="default" w:eastAsia="宋体"/>
          <w:b w:val="0"/>
          <w:bCs w:val="0"/>
          <w:sz w:val="20"/>
          <w:szCs w:val="20"/>
          <w:lang w:val="en-US" w:eastAsia="zh-CN"/>
        </w:rPr>
      </w:pPr>
      <w:r>
        <w:rPr>
          <w:rFonts w:hint="eastAsia" w:eastAsia="宋体"/>
          <w:b w:val="0"/>
          <w:bCs w:val="0"/>
          <w:sz w:val="20"/>
          <w:szCs w:val="20"/>
          <w:lang w:val="en-US" w:eastAsia="zh-CN"/>
        </w:rPr>
        <w:t>Channel access</w:t>
      </w:r>
    </w:p>
    <w:p>
      <w:pPr>
        <w:rPr>
          <w:rFonts w:hint="default"/>
          <w:b/>
          <w:bCs/>
          <w:lang w:val="en-US" w:eastAsia="zh-CN"/>
        </w:rPr>
      </w:pPr>
      <w:r>
        <w:rPr>
          <w:rFonts w:hint="eastAsia"/>
          <w:b/>
          <w:bCs/>
          <w:lang w:val="en-US" w:eastAsia="zh-CN"/>
        </w:rPr>
        <w:t>Observation 12: Cat 2 LBT shows better performance than no LBT at least in COT sharing case.</w:t>
      </w:r>
    </w:p>
    <w:p>
      <w:pPr>
        <w:rPr>
          <w:rFonts w:hint="eastAsia"/>
          <w:b/>
          <w:bCs/>
          <w:lang w:val="en-US" w:eastAsia="zh-CN"/>
        </w:rPr>
      </w:pPr>
    </w:p>
    <w:p>
      <w:pPr>
        <w:rPr>
          <w:rFonts w:eastAsia="宋体"/>
          <w:b/>
          <w:bCs/>
          <w:lang w:eastAsia="zh-CN"/>
        </w:rPr>
      </w:pPr>
    </w:p>
    <w:p>
      <w:pPr>
        <w:pStyle w:val="2"/>
        <w:rPr>
          <w:lang w:val="en-US" w:eastAsia="zh-CN"/>
        </w:rPr>
      </w:pPr>
      <w:r>
        <w:rPr>
          <w:rFonts w:hint="eastAsia"/>
          <w:lang w:val="en-US" w:eastAsia="zh-CN"/>
        </w:rPr>
        <w:t>Reference</w:t>
      </w:r>
    </w:p>
    <w:p>
      <w:pPr>
        <w:numPr>
          <w:ilvl w:val="0"/>
          <w:numId w:val="25"/>
        </w:numPr>
        <w:snapToGrid w:val="0"/>
        <w:spacing w:before="120" w:beforeLines="50" w:after="120" w:afterLines="50" w:line="240" w:lineRule="auto"/>
        <w:jc w:val="both"/>
        <w:rPr>
          <w:rFonts w:eastAsia="宋体"/>
          <w:lang w:val="en-US" w:eastAsia="zh-CN"/>
        </w:rPr>
      </w:pPr>
      <w:r>
        <w:rPr>
          <w:rFonts w:hint="eastAsia" w:eastAsia="宋体"/>
          <w:lang w:val="en-US" w:eastAsia="zh-CN"/>
        </w:rPr>
        <w:t xml:space="preserve">   </w:t>
      </w:r>
      <w:r>
        <w:fldChar w:fldCharType="begin"/>
      </w:r>
      <w:r>
        <w:instrText xml:space="preserve"> HYPERLINK "http://www.3gpp.org/ftp/tsg_ran/TSG_RAN/TSGR_90e/Docs/RP-202925.zip" </w:instrText>
      </w:r>
      <w:r>
        <w:fldChar w:fldCharType="separate"/>
      </w:r>
      <w:r>
        <w:rPr>
          <w:rFonts w:hint="eastAsia" w:eastAsia="宋体"/>
          <w:lang w:val="en-US" w:eastAsia="zh-CN"/>
        </w:rPr>
        <w:t>RP-202925</w:t>
      </w:r>
      <w:r>
        <w:rPr>
          <w:rFonts w:hint="eastAsia" w:eastAsia="宋体"/>
          <w:lang w:val="en-US" w:eastAsia="zh-CN"/>
        </w:rPr>
        <w:fldChar w:fldCharType="end"/>
      </w:r>
      <w:r>
        <w:rPr>
          <w:rFonts w:hint="eastAsia" w:eastAsia="宋体"/>
          <w:lang w:val="en-US" w:eastAsia="zh-CN"/>
        </w:rPr>
        <w:t>, WID on extending current NR operation to 71 GHz</w:t>
      </w:r>
    </w:p>
    <w:p>
      <w:pPr>
        <w:numPr>
          <w:ilvl w:val="0"/>
          <w:numId w:val="25"/>
        </w:numPr>
        <w:snapToGrid w:val="0"/>
        <w:spacing w:before="120" w:beforeLines="50" w:after="120" w:afterLines="50" w:line="240" w:lineRule="auto"/>
        <w:jc w:val="both"/>
        <w:rPr>
          <w:rFonts w:eastAsia="宋体"/>
          <w:lang w:val="en-US" w:eastAsia="zh-CN"/>
        </w:rPr>
      </w:pPr>
      <w:r>
        <w:rPr>
          <w:rFonts w:hint="eastAsia" w:eastAsia="宋体"/>
          <w:lang w:val="en-US" w:eastAsia="zh-CN"/>
        </w:rPr>
        <w:t xml:space="preserve">   TS 38.213, NR; Physical layer procedures for control(Release 16)</w:t>
      </w:r>
    </w:p>
    <w:p>
      <w:pPr>
        <w:numPr>
          <w:ilvl w:val="0"/>
          <w:numId w:val="25"/>
        </w:numPr>
        <w:snapToGrid w:val="0"/>
        <w:spacing w:before="120" w:beforeLines="50" w:after="120" w:afterLines="50" w:line="240" w:lineRule="auto"/>
        <w:jc w:val="both"/>
        <w:rPr>
          <w:rFonts w:eastAsia="宋体"/>
          <w:lang w:val="en-US" w:eastAsia="zh-CN"/>
        </w:rPr>
      </w:pPr>
      <w:r>
        <w:rPr>
          <w:rFonts w:hint="eastAsia" w:eastAsia="宋体"/>
          <w:lang w:val="en-US" w:eastAsia="zh-CN"/>
        </w:rPr>
        <w:t xml:space="preserve">   TS 38.331, NR; Radio Resource Control (RRC) protocol specification(Release 16)</w:t>
      </w:r>
    </w:p>
    <w:p>
      <w:pPr>
        <w:widowControl w:val="0"/>
        <w:numPr>
          <w:ilvl w:val="0"/>
          <w:numId w:val="25"/>
        </w:numPr>
        <w:snapToGrid w:val="0"/>
        <w:spacing w:before="120" w:beforeLines="50" w:after="120" w:afterLines="50" w:line="240" w:lineRule="auto"/>
        <w:jc w:val="both"/>
      </w:pPr>
      <w:r>
        <w:rPr>
          <w:rFonts w:hint="eastAsia" w:eastAsia="宋体"/>
          <w:lang w:val="en-US" w:eastAsia="zh-CN"/>
        </w:rPr>
        <w:t xml:space="preserve">   TS 38.214, NR; Physical layer procedures for data(Release 16)</w:t>
      </w:r>
      <w:bookmarkStart w:id="3" w:name="_Ref60051730"/>
    </w:p>
    <w:p>
      <w:pPr>
        <w:widowControl w:val="0"/>
        <w:numPr>
          <w:ilvl w:val="0"/>
          <w:numId w:val="25"/>
        </w:numPr>
        <w:snapToGrid w:val="0"/>
        <w:spacing w:before="120" w:beforeLines="50" w:after="120" w:afterLines="50" w:line="240" w:lineRule="auto"/>
        <w:jc w:val="both"/>
        <w:rPr>
          <w:rFonts w:eastAsia="宋体"/>
          <w:lang w:eastAsia="zh-CN"/>
        </w:rPr>
      </w:pPr>
      <w:r>
        <w:rPr>
          <w:rFonts w:hint="eastAsia" w:eastAsia="宋体"/>
          <w:lang w:val="en-US" w:eastAsia="zh-CN"/>
        </w:rPr>
        <w:t xml:space="preserve">   </w:t>
      </w:r>
      <w:r>
        <w:rPr>
          <w:rFonts w:hint="eastAsia" w:eastAsia="宋体"/>
          <w:lang w:eastAsia="zh-CN"/>
        </w:rPr>
        <w:t>TS 38.211,</w:t>
      </w:r>
      <w:r>
        <w:rPr>
          <w:rFonts w:hint="eastAsia" w:eastAsia="宋体"/>
          <w:lang w:val="en-US" w:eastAsia="zh-CN"/>
        </w:rPr>
        <w:t xml:space="preserve"> NR;</w:t>
      </w:r>
      <w:r>
        <w:rPr>
          <w:rFonts w:hint="eastAsia" w:eastAsia="宋体"/>
          <w:lang w:eastAsia="zh-CN"/>
        </w:rPr>
        <w:t xml:space="preserve"> Physical channels and modulation</w:t>
      </w:r>
      <w:bookmarkEnd w:id="3"/>
      <w:r>
        <w:rPr>
          <w:rFonts w:hint="eastAsia" w:eastAsia="宋体"/>
          <w:lang w:val="en-US" w:eastAsia="zh-CN"/>
        </w:rPr>
        <w:t>(Release 16)</w:t>
      </w:r>
    </w:p>
    <w:p>
      <w:pPr>
        <w:widowControl w:val="0"/>
        <w:numPr>
          <w:ilvl w:val="0"/>
          <w:numId w:val="25"/>
        </w:numPr>
        <w:snapToGrid w:val="0"/>
        <w:spacing w:before="120" w:beforeLines="50" w:after="120" w:afterLines="50" w:line="240" w:lineRule="auto"/>
        <w:jc w:val="both"/>
        <w:rPr>
          <w:sz w:val="20"/>
          <w:szCs w:val="20"/>
          <w:lang w:val="en-US" w:eastAsia="zh-CN"/>
        </w:rPr>
      </w:pPr>
      <w:r>
        <w:rPr>
          <w:rFonts w:hint="eastAsia" w:eastAsia="宋体"/>
          <w:lang w:val="en-US" w:eastAsia="zh-CN"/>
        </w:rPr>
        <w:t xml:space="preserve">  R1-2100201 </w:t>
      </w:r>
      <w:r>
        <w:rPr>
          <w:rFonts w:eastAsia="宋体"/>
          <w:lang w:val="en-US" w:eastAsia="zh-CN"/>
        </w:rPr>
        <w:t>PDSCH/PUSCH enhancements for 52-71GHz band</w:t>
      </w:r>
      <w:r>
        <w:rPr>
          <w:rFonts w:hint="eastAsia" w:eastAsia="宋体"/>
          <w:lang w:val="en-US" w:eastAsia="zh-CN"/>
        </w:rPr>
        <w:t>, Huawei, HiSilicon</w:t>
      </w:r>
    </w:p>
    <w:p>
      <w:pPr>
        <w:widowControl w:val="0"/>
        <w:numPr>
          <w:ilvl w:val="0"/>
          <w:numId w:val="25"/>
        </w:numPr>
        <w:snapToGrid w:val="0"/>
        <w:spacing w:before="120" w:beforeLines="50" w:after="120" w:afterLines="50" w:line="240" w:lineRule="auto"/>
        <w:jc w:val="both"/>
        <w:rPr>
          <w:sz w:val="20"/>
          <w:szCs w:val="20"/>
          <w:lang w:val="en-US" w:eastAsia="zh-CN"/>
        </w:rPr>
      </w:pPr>
      <w:r>
        <w:rPr>
          <w:rFonts w:hint="eastAsia"/>
          <w:sz w:val="20"/>
          <w:szCs w:val="20"/>
          <w:lang w:val="en-US" w:eastAsia="zh-CN"/>
        </w:rPr>
        <w:t xml:space="preserve">  Chairman's Notes RAN1#105</w:t>
      </w:r>
      <w:r>
        <w:rPr>
          <w:sz w:val="20"/>
          <w:szCs w:val="20"/>
          <w:lang w:val="en-US" w:eastAsia="zh-CN"/>
        </w:rPr>
        <w:t>-e</w:t>
      </w:r>
      <w:r>
        <w:rPr>
          <w:rFonts w:hint="eastAsia"/>
          <w:sz w:val="20"/>
          <w:szCs w:val="20"/>
          <w:lang w:val="en-US" w:eastAsia="zh-CN"/>
        </w:rPr>
        <w:t>.</w:t>
      </w:r>
    </w:p>
    <w:p>
      <w:pPr>
        <w:widowControl w:val="0"/>
        <w:numPr>
          <w:ilvl w:val="0"/>
          <w:numId w:val="25"/>
        </w:numPr>
        <w:snapToGrid w:val="0"/>
        <w:spacing w:before="120" w:beforeLines="50" w:after="120" w:afterLines="50" w:line="240" w:lineRule="auto"/>
        <w:jc w:val="both"/>
        <w:rPr>
          <w:sz w:val="20"/>
          <w:szCs w:val="20"/>
          <w:lang w:val="en-US" w:eastAsia="zh-CN"/>
        </w:rPr>
      </w:pPr>
      <w:r>
        <w:rPr>
          <w:rStyle w:val="57"/>
          <w:rFonts w:hint="eastAsia"/>
          <w:color w:val="auto"/>
          <w:sz w:val="20"/>
          <w:szCs w:val="20"/>
          <w:u w:val="none"/>
          <w:lang w:val="en-US" w:eastAsia="zh-CN"/>
        </w:rPr>
        <w:t xml:space="preserve">  </w:t>
      </w:r>
      <w:r>
        <w:rPr>
          <w:rStyle w:val="57"/>
          <w:color w:val="auto"/>
          <w:sz w:val="20"/>
          <w:szCs w:val="20"/>
          <w:u w:val="none"/>
          <w:lang w:eastAsia="zh-CN"/>
        </w:rPr>
        <w:t>R1-2106065</w:t>
      </w:r>
      <w:r>
        <w:rPr>
          <w:sz w:val="20"/>
          <w:szCs w:val="20"/>
          <w:lang w:eastAsia="zh-CN"/>
        </w:rPr>
        <w:tab/>
      </w:r>
      <w:r>
        <w:rPr>
          <w:sz w:val="20"/>
          <w:szCs w:val="20"/>
          <w:lang w:eastAsia="zh-CN"/>
        </w:rPr>
        <w:t>Discussions on PUCCH enhancements for NR operation from 52.6GHz to 71GHz</w:t>
      </w:r>
      <w:r>
        <w:rPr>
          <w:sz w:val="20"/>
          <w:szCs w:val="20"/>
          <w:lang w:eastAsia="zh-CN"/>
        </w:rPr>
        <w:tab/>
      </w:r>
      <w:r>
        <w:rPr>
          <w:sz w:val="20"/>
          <w:szCs w:val="20"/>
          <w:lang w:eastAsia="zh-CN"/>
        </w:rPr>
        <w:t>vivo</w:t>
      </w:r>
      <w:r>
        <w:rPr>
          <w:sz w:val="20"/>
          <w:szCs w:val="20"/>
          <w:lang w:eastAsia="zh-CN"/>
        </w:rPr>
        <w:tab/>
      </w:r>
    </w:p>
    <w:p>
      <w:pPr>
        <w:rPr>
          <w:lang w:eastAsia="zh-CN"/>
        </w:rPr>
      </w:pPr>
    </w:p>
    <w:p>
      <w:pPr>
        <w:pStyle w:val="2"/>
        <w:ind w:left="0" w:firstLine="0"/>
        <w:rPr>
          <w:lang w:val="en-US" w:eastAsia="zh-CN"/>
        </w:rPr>
      </w:pPr>
      <w:r>
        <w:rPr>
          <w:rFonts w:hint="eastAsia"/>
          <w:lang w:val="en-US" w:eastAsia="zh-CN"/>
        </w:rPr>
        <w:t>Appendix</w:t>
      </w:r>
    </w:p>
    <w:p>
      <w:pPr>
        <w:pStyle w:val="3"/>
        <w:numPr>
          <w:ilvl w:val="1"/>
          <w:numId w:val="0"/>
        </w:numPr>
        <w:bidi w:val="0"/>
        <w:ind w:leftChars="0"/>
        <w:rPr>
          <w:rFonts w:hint="default"/>
          <w:lang w:val="en-US" w:eastAsia="zh-CN"/>
        </w:rPr>
      </w:pPr>
      <w:r>
        <w:rPr>
          <w:rFonts w:hint="eastAsia"/>
          <w:lang w:val="en-US" w:eastAsia="zh-CN"/>
        </w:rPr>
        <w:t>A1. Simulation assumption on PUSCH/PDSCH</w:t>
      </w:r>
    </w:p>
    <w:p>
      <w:pPr>
        <w:jc w:val="center"/>
        <w:rPr>
          <w:lang w:val="en-US" w:eastAsia="zh-CN"/>
        </w:rPr>
      </w:pPr>
      <w:r>
        <w:rPr>
          <w:rFonts w:hint="eastAsia"/>
          <w:lang w:val="en-US" w:eastAsia="zh-CN"/>
        </w:rPr>
        <w:t>Table A1-1 Link level simulation assumption</w:t>
      </w:r>
    </w:p>
    <w:tbl>
      <w:tblPr>
        <w:tblStyle w:val="62"/>
        <w:tblW w:w="667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5"/>
        <w:gridCol w:w="34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pStyle w:val="96"/>
              <w:snapToGrid w:val="0"/>
              <w:rPr>
                <w:lang w:val="en-US"/>
              </w:rPr>
            </w:pPr>
            <w:r>
              <w:rPr>
                <w:szCs w:val="22"/>
                <w:lang w:val="en-US"/>
              </w:rPr>
              <w:t>Parameters</w:t>
            </w:r>
          </w:p>
        </w:tc>
        <w:tc>
          <w:tcPr>
            <w:tcW w:w="3419" w:type="dxa"/>
          </w:tcPr>
          <w:p>
            <w:pPr>
              <w:pStyle w:val="96"/>
              <w:snapToGrid w:val="0"/>
              <w:rPr>
                <w:lang w:val="en-US" w:eastAsia="zh-CN"/>
              </w:rPr>
            </w:pPr>
            <w:r>
              <w:rPr>
                <w:rFonts w:hint="eastAsia"/>
                <w:szCs w:val="22"/>
                <w:lang w:val="en-US" w:eastAsia="zh-CN"/>
              </w:rPr>
              <w:t>Values or 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Carrier Frequency</w:t>
            </w:r>
          </w:p>
        </w:tc>
        <w:tc>
          <w:tcPr>
            <w:tcW w:w="3419" w:type="dxa"/>
          </w:tcPr>
          <w:p>
            <w:pPr>
              <w:snapToGrid w:val="0"/>
              <w:spacing w:after="0"/>
              <w:rPr>
                <w:rFonts w:eastAsia="宋体"/>
                <w:lang w:val="en-US" w:eastAsia="zh-CN"/>
              </w:rPr>
            </w:pPr>
            <w:r>
              <w:rPr>
                <w:rFonts w:hint="eastAsia" w:eastAsia="宋体"/>
                <w:lang w:val="en-US" w:eastAsia="zh-CN"/>
              </w:rPr>
              <w:t>60GHz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rFonts w:hint="eastAsia" w:eastAsia="宋体"/>
                <w:lang w:val="en-US" w:eastAsia="zh-CN"/>
              </w:rPr>
              <w:t>Waveform</w:t>
            </w:r>
          </w:p>
        </w:tc>
        <w:tc>
          <w:tcPr>
            <w:tcW w:w="3419" w:type="dxa"/>
          </w:tcPr>
          <w:p>
            <w:pPr>
              <w:snapToGrid w:val="0"/>
              <w:spacing w:after="0"/>
              <w:rPr>
                <w:rFonts w:hint="default" w:eastAsia="宋体"/>
                <w:lang w:val="en-US" w:eastAsia="zh-CN"/>
              </w:rPr>
            </w:pPr>
            <w:r>
              <w:rPr>
                <w:rFonts w:hint="eastAsia" w:eastAsia="宋体"/>
                <w:lang w:val="en-US" w:eastAsia="zh-CN"/>
              </w:rPr>
              <w:t>CP-OFDM/DFT-s-OFDM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rFonts w:hint="default" w:eastAsia="宋体"/>
                <w:lang w:val="en-US" w:eastAsia="zh-CN"/>
              </w:rPr>
            </w:pPr>
            <w:r>
              <w:rPr>
                <w:rFonts w:hint="eastAsia" w:eastAsia="宋体"/>
                <w:lang w:val="en-US" w:eastAsia="zh-CN"/>
              </w:rPr>
              <w:t>Allocated PRB number</w:t>
            </w:r>
          </w:p>
        </w:tc>
        <w:tc>
          <w:tcPr>
            <w:tcW w:w="3419" w:type="dxa"/>
          </w:tcPr>
          <w:p>
            <w:pPr>
              <w:snapToGrid w:val="0"/>
              <w:spacing w:after="0"/>
              <w:rPr>
                <w:rFonts w:hint="default" w:eastAsia="宋体"/>
                <w:lang w:val="en-US" w:eastAsia="zh-CN"/>
              </w:rPr>
            </w:pPr>
            <w:r>
              <w:rPr>
                <w:rFonts w:hint="eastAsia" w:eastAsia="宋体"/>
                <w:lang w:val="en-US" w:eastAsia="zh-CN"/>
              </w:rPr>
              <w:t>256 if not specified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rFonts w:eastAsia="宋体"/>
                <w:lang w:val="en-US" w:eastAsia="zh-CN"/>
              </w:rPr>
            </w:pPr>
            <w:r>
              <w:rPr>
                <w:rFonts w:hint="eastAsia" w:eastAsia="宋体"/>
                <w:lang w:val="en-US" w:eastAsia="zh-CN"/>
              </w:rPr>
              <w:t>Subcarrier spacing</w:t>
            </w:r>
          </w:p>
        </w:tc>
        <w:tc>
          <w:tcPr>
            <w:tcW w:w="3419" w:type="dxa"/>
          </w:tcPr>
          <w:p>
            <w:pPr>
              <w:snapToGrid w:val="0"/>
              <w:spacing w:after="0"/>
              <w:rPr>
                <w:rFonts w:eastAsia="宋体"/>
                <w:lang w:val="en-US" w:eastAsia="zh-CN"/>
              </w:rPr>
            </w:pPr>
            <w:r>
              <w:rPr>
                <w:rFonts w:hint="eastAsia" w:eastAsia="宋体"/>
                <w:lang w:val="en-US" w:eastAsia="zh-CN"/>
              </w:rPr>
              <w:t>120kHz/480kHz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rFonts w:hint="default" w:eastAsia="宋体"/>
                <w:lang w:val="en-US" w:eastAsia="zh-CN"/>
              </w:rPr>
            </w:pPr>
            <w:r>
              <w:rPr>
                <w:rFonts w:hint="eastAsia" w:eastAsia="宋体"/>
                <w:lang w:val="en-US" w:eastAsia="zh-CN"/>
              </w:rPr>
              <w:t>MCS</w:t>
            </w:r>
          </w:p>
        </w:tc>
        <w:tc>
          <w:tcPr>
            <w:tcW w:w="3419" w:type="dxa"/>
          </w:tcPr>
          <w:p>
            <w:pPr>
              <w:snapToGrid w:val="0"/>
              <w:spacing w:after="0"/>
              <w:rPr>
                <w:rFonts w:hint="default" w:eastAsia="宋体"/>
                <w:lang w:val="en-US" w:eastAsia="zh-CN"/>
              </w:rPr>
            </w:pPr>
            <w:r>
              <w:rPr>
                <w:rFonts w:hint="eastAsia" w:eastAsia="宋体"/>
                <w:lang w:val="en-US" w:eastAsia="zh-CN"/>
              </w:rPr>
              <w:t>MCS 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rFonts w:eastAsia="宋体"/>
                <w:lang w:val="en-US" w:eastAsia="zh-CN"/>
              </w:rPr>
            </w:pPr>
            <w:r>
              <w:rPr>
                <w:rFonts w:hint="eastAsia" w:eastAsia="宋体"/>
                <w:lang w:val="en-US" w:eastAsia="zh-CN"/>
              </w:rPr>
              <w:t>CP type</w:t>
            </w:r>
          </w:p>
        </w:tc>
        <w:tc>
          <w:tcPr>
            <w:tcW w:w="3419" w:type="dxa"/>
          </w:tcPr>
          <w:p>
            <w:pPr>
              <w:snapToGrid w:val="0"/>
              <w:spacing w:after="0"/>
              <w:rPr>
                <w:rFonts w:eastAsia="宋体"/>
                <w:lang w:val="en-US" w:eastAsia="zh-CN"/>
              </w:rPr>
            </w:pPr>
            <w:r>
              <w:rPr>
                <w:rFonts w:hint="eastAsia" w:eastAsia="宋体"/>
                <w:lang w:val="en-US" w:eastAsia="zh-CN"/>
              </w:rPr>
              <w:t>Normal CP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Channel Model</w:t>
            </w:r>
          </w:p>
        </w:tc>
        <w:tc>
          <w:tcPr>
            <w:tcW w:w="3419" w:type="dxa"/>
          </w:tcPr>
          <w:p>
            <w:pPr>
              <w:snapToGrid w:val="0"/>
              <w:spacing w:after="0"/>
              <w:rPr>
                <w:rFonts w:hint="default" w:eastAsia="宋体"/>
                <w:lang w:val="en-US" w:eastAsia="zh-CN"/>
              </w:rPr>
            </w:pPr>
            <w:r>
              <w:rPr>
                <w:rFonts w:hint="eastAsia" w:eastAsia="宋体"/>
                <w:lang w:val="en-US" w:eastAsia="zh-CN"/>
              </w:rPr>
              <w:t>TDL-A 5ns/10ns/20ns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rFonts w:eastAsia="宋体"/>
                <w:lang w:val="en-US" w:eastAsia="zh-CN"/>
              </w:rPr>
            </w:pPr>
            <w:r>
              <w:rPr>
                <w:rFonts w:hint="eastAsia" w:eastAsia="宋体"/>
                <w:lang w:val="en-US" w:eastAsia="zh-CN"/>
              </w:rPr>
              <w:t>PN model</w:t>
            </w:r>
          </w:p>
        </w:tc>
        <w:tc>
          <w:tcPr>
            <w:tcW w:w="3419" w:type="dxa"/>
          </w:tcPr>
          <w:p>
            <w:pPr>
              <w:snapToGrid w:val="0"/>
              <w:spacing w:after="0"/>
              <w:rPr>
                <w:rFonts w:eastAsia="宋体"/>
                <w:lang w:val="en-US" w:eastAsia="zh-CN"/>
              </w:rPr>
            </w:pPr>
            <w:r>
              <w:rPr>
                <w:rFonts w:eastAsia="宋体"/>
                <w:lang w:val="en-US" w:eastAsia="zh-CN"/>
              </w:rPr>
              <w:t>3GPP TR38.803 example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rFonts w:hint="eastAsia" w:eastAsia="宋体"/>
                <w:lang w:val="en-US" w:eastAsia="zh-CN"/>
              </w:rPr>
              <w:t>DMRS</w:t>
            </w:r>
            <w:r>
              <w:rPr>
                <w:lang w:val="en-US"/>
              </w:rPr>
              <w:t xml:space="preserve"> Configuration</w:t>
            </w:r>
          </w:p>
        </w:tc>
        <w:tc>
          <w:tcPr>
            <w:tcW w:w="3419" w:type="dxa"/>
          </w:tcPr>
          <w:p>
            <w:pPr>
              <w:snapToGrid w:val="0"/>
              <w:spacing w:after="0"/>
              <w:rPr>
                <w:lang w:val="en-US"/>
              </w:rPr>
            </w:pPr>
            <w:r>
              <w:rPr>
                <w:lang w:val="en-US" w:eastAsia="zh-CN"/>
              </w:rPr>
              <w:t>2 DMRS symbols per slot at (2,11)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PTRS Configuration</w:t>
            </w:r>
          </w:p>
        </w:tc>
        <w:tc>
          <w:tcPr>
            <w:tcW w:w="3419" w:type="dxa"/>
          </w:tcPr>
          <w:p>
            <w:pPr>
              <w:snapToGrid w:val="0"/>
              <w:spacing w:after="0"/>
              <w:rPr>
                <w:rFonts w:hint="default" w:eastAsia="宋体"/>
                <w:lang w:val="en-US" w:eastAsia="zh-CN"/>
              </w:rPr>
            </w:pPr>
            <w:r>
              <w:rPr>
                <w:rFonts w:eastAsia="宋体"/>
                <w:lang w:val="en-US" w:eastAsia="zh-CN"/>
              </w:rPr>
              <w:t>(K = 2, L = 1)</w:t>
            </w:r>
            <w:r>
              <w:rPr>
                <w:rFonts w:hint="eastAsia" w:eastAsia="宋体"/>
                <w:lang w:val="en-US" w:eastAsia="zh-CN"/>
              </w:rPr>
              <w:t xml:space="preserve"> if not specified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SLIV</w:t>
            </w:r>
          </w:p>
        </w:tc>
        <w:tc>
          <w:tcPr>
            <w:tcW w:w="3419" w:type="dxa"/>
          </w:tcPr>
          <w:p>
            <w:pPr>
              <w:snapToGrid w:val="0"/>
              <w:spacing w:after="0"/>
              <w:rPr>
                <w:rFonts w:eastAsia="宋体"/>
                <w:lang w:val="en-US" w:eastAsia="zh-CN"/>
              </w:rPr>
            </w:pPr>
            <w:r>
              <w:rPr>
                <w:rFonts w:eastAsia="宋体"/>
                <w:lang w:val="en-US" w:eastAsia="zh-CN"/>
              </w:rPr>
              <w:t>(S=</w:t>
            </w:r>
            <w:r>
              <w:rPr>
                <w:rFonts w:hint="eastAsia" w:eastAsia="宋体"/>
                <w:lang w:val="en-US" w:eastAsia="zh-CN"/>
              </w:rPr>
              <w:t>2</w:t>
            </w:r>
            <w:r>
              <w:rPr>
                <w:rFonts w:eastAsia="宋体"/>
                <w:lang w:val="en-US" w:eastAsia="zh-CN"/>
              </w:rPr>
              <w:t>, L=14)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Channel Estimation</w:t>
            </w:r>
          </w:p>
        </w:tc>
        <w:tc>
          <w:tcPr>
            <w:tcW w:w="3419" w:type="dxa"/>
          </w:tcPr>
          <w:p>
            <w:pPr>
              <w:snapToGrid w:val="0"/>
              <w:spacing w:after="0"/>
              <w:rPr>
                <w:rFonts w:eastAsia="宋体"/>
                <w:lang w:val="en-US" w:eastAsia="zh-CN"/>
              </w:rPr>
            </w:pPr>
            <w:r>
              <w:rPr>
                <w:rFonts w:hint="eastAsia" w:eastAsia="宋体"/>
                <w:lang w:val="en-US" w:eastAsia="zh-CN"/>
              </w:rPr>
              <w:t>Realistic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rFonts w:hint="eastAsia" w:eastAsia="宋体"/>
                <w:lang w:val="en-US" w:eastAsia="zh-CN"/>
              </w:rPr>
              <w:t>PN</w:t>
            </w:r>
            <w:r>
              <w:rPr>
                <w:lang w:val="en-US"/>
              </w:rPr>
              <w:t xml:space="preserve"> Estimation</w:t>
            </w:r>
          </w:p>
        </w:tc>
        <w:tc>
          <w:tcPr>
            <w:tcW w:w="3419" w:type="dxa"/>
          </w:tcPr>
          <w:p>
            <w:pPr>
              <w:snapToGrid w:val="0"/>
              <w:spacing w:after="0"/>
              <w:rPr>
                <w:rFonts w:eastAsia="宋体"/>
                <w:lang w:val="en-US" w:eastAsia="zh-CN"/>
              </w:rPr>
            </w:pPr>
            <w:r>
              <w:rPr>
                <w:rFonts w:hint="eastAsia" w:eastAsia="宋体"/>
                <w:lang w:val="en-US" w:eastAsia="zh-CN"/>
              </w:rPr>
              <w:t>Realistic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rFonts w:eastAsia="宋体"/>
                <w:lang w:val="en-US" w:eastAsia="zh-CN"/>
              </w:rPr>
            </w:pPr>
            <w:r>
              <w:rPr>
                <w:rFonts w:hint="eastAsia" w:eastAsia="宋体"/>
                <w:lang w:val="en-US" w:eastAsia="zh-CN"/>
              </w:rPr>
              <w:t>PN compensation</w:t>
            </w:r>
          </w:p>
        </w:tc>
        <w:tc>
          <w:tcPr>
            <w:tcW w:w="3419" w:type="dxa"/>
          </w:tcPr>
          <w:p>
            <w:pPr>
              <w:snapToGrid w:val="0"/>
              <w:spacing w:after="0"/>
              <w:rPr>
                <w:rFonts w:eastAsia="宋体"/>
                <w:lang w:val="en-US" w:eastAsia="zh-CN"/>
              </w:rPr>
            </w:pPr>
            <w:r>
              <w:rPr>
                <w:rFonts w:hint="eastAsia" w:eastAsia="宋体"/>
                <w:lang w:val="en-US" w:eastAsia="zh-CN"/>
              </w:rPr>
              <w:t>CPE &amp; ICI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UE receiver</w:t>
            </w:r>
          </w:p>
        </w:tc>
        <w:tc>
          <w:tcPr>
            <w:tcW w:w="3419" w:type="dxa"/>
          </w:tcPr>
          <w:p>
            <w:pPr>
              <w:snapToGrid w:val="0"/>
              <w:spacing w:after="0"/>
              <w:rPr>
                <w:lang w:val="en-US"/>
              </w:rPr>
            </w:pPr>
            <w:r>
              <w:t>MMSE-IRC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BS antenna Array configuration</w:t>
            </w:r>
          </w:p>
        </w:tc>
        <w:tc>
          <w:tcPr>
            <w:tcW w:w="3419" w:type="dxa"/>
          </w:tcPr>
          <w:p>
            <w:pPr>
              <w:snapToGrid w:val="0"/>
              <w:spacing w:after="0"/>
              <w:rPr>
                <w:lang w:val="en-US"/>
              </w:rPr>
            </w:pPr>
            <w:r>
              <w:rPr>
                <w:rFonts w:hint="eastAsia" w:eastAsia="宋体"/>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5" w:type="dxa"/>
          </w:tcPr>
          <w:p>
            <w:pPr>
              <w:snapToGrid w:val="0"/>
              <w:spacing w:after="0"/>
              <w:rPr>
                <w:lang w:val="en-US"/>
              </w:rPr>
            </w:pPr>
            <w:r>
              <w:rPr>
                <w:lang w:val="en-US"/>
              </w:rPr>
              <w:t>UE antenna Array configuration</w:t>
            </w:r>
          </w:p>
        </w:tc>
        <w:tc>
          <w:tcPr>
            <w:tcW w:w="3419" w:type="dxa"/>
          </w:tcPr>
          <w:p>
            <w:pPr>
              <w:snapToGrid w:val="0"/>
              <w:spacing w:after="0"/>
              <w:rPr>
                <w:lang w:val="en-US"/>
              </w:rPr>
            </w:pPr>
            <w:r>
              <w:rPr>
                <w:rFonts w:hint="eastAsia" w:eastAsia="宋体"/>
                <w:lang w:val="en-US" w:eastAsia="zh-CN"/>
              </w:rPr>
              <w:t>2</w:t>
            </w:r>
          </w:p>
        </w:tc>
      </w:tr>
    </w:tbl>
    <w:p>
      <w:pPr>
        <w:rPr>
          <w:rFonts w:eastAsia="宋体"/>
          <w:lang w:val="en-US" w:eastAsia="zh-CN"/>
        </w:rPr>
      </w:pPr>
    </w:p>
    <w:p>
      <w:pPr>
        <w:widowControl w:val="0"/>
        <w:autoSpaceDE w:val="0"/>
        <w:autoSpaceDN w:val="0"/>
        <w:adjustRightInd w:val="0"/>
        <w:spacing w:before="120" w:beforeLines="50" w:after="120" w:afterLines="50" w:line="240" w:lineRule="auto"/>
        <w:jc w:val="both"/>
        <w:rPr>
          <w:rFonts w:eastAsia="宋体"/>
          <w:lang w:val="en-US" w:eastAsia="zh-CN"/>
        </w:rPr>
      </w:pPr>
    </w:p>
    <w:p>
      <w:pPr>
        <w:pStyle w:val="3"/>
        <w:numPr>
          <w:ilvl w:val="1"/>
          <w:numId w:val="0"/>
        </w:numPr>
        <w:bidi w:val="0"/>
        <w:ind w:leftChars="0"/>
        <w:rPr>
          <w:rFonts w:hint="eastAsia"/>
          <w:lang w:val="en-US" w:eastAsia="zh-CN"/>
        </w:rPr>
      </w:pPr>
      <w:r>
        <w:rPr>
          <w:rFonts w:hint="eastAsia"/>
          <w:lang w:val="en-US" w:eastAsia="zh-CN"/>
        </w:rPr>
        <w:t>A2. Simulation assumption on PUCCH</w:t>
      </w:r>
    </w:p>
    <w:p>
      <w:pPr>
        <w:pStyle w:val="99"/>
        <w:rPr>
          <w:rFonts w:ascii="Times New Roman" w:hAnsi="Times New Roman"/>
          <w:lang w:val="en-US"/>
        </w:rPr>
      </w:pPr>
      <w:r>
        <w:rPr>
          <w:rFonts w:ascii="Times New Roman" w:hAnsi="Times New Roman"/>
          <w:lang w:val="en-US"/>
        </w:rPr>
        <w:t xml:space="preserve">Table </w:t>
      </w:r>
      <w:r>
        <w:rPr>
          <w:rFonts w:hint="eastAsia" w:ascii="Times New Roman" w:hAnsi="Times New Roman" w:eastAsia="宋体"/>
          <w:lang w:val="en-US" w:eastAsia="zh-CN"/>
        </w:rPr>
        <w:t>A2-</w:t>
      </w:r>
      <w:r>
        <w:rPr>
          <w:rFonts w:ascii="Times New Roman" w:hAnsi="Times New Roman"/>
          <w:lang w:val="en-US"/>
        </w:rPr>
        <w:t>1: Simplified Evaluation Assumptions</w:t>
      </w:r>
    </w:p>
    <w:tbl>
      <w:tblPr>
        <w:tblStyle w:val="61"/>
        <w:tblW w:w="93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4"/>
        <w:gridCol w:w="69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8" w:hRule="atLeast"/>
          <w:tblHeader/>
        </w:trPr>
        <w:tc>
          <w:tcPr>
            <w:tcW w:w="2404" w:type="dxa"/>
            <w:tcBorders>
              <w:top w:val="single" w:color="auto" w:sz="4" w:space="0"/>
              <w:left w:val="single" w:color="auto" w:sz="4" w:space="0"/>
              <w:bottom w:val="single" w:color="auto" w:sz="4" w:space="0"/>
              <w:right w:val="single" w:color="auto" w:sz="4" w:space="0"/>
            </w:tcBorders>
            <w:shd w:val="clear" w:color="auto" w:fill="F2F2F2"/>
            <w:vAlign w:val="center"/>
          </w:tcPr>
          <w:p>
            <w:pPr>
              <w:pStyle w:val="96"/>
              <w:keepNext w:val="0"/>
              <w:keepLines w:val="0"/>
              <w:snapToGrid w:val="0"/>
              <w:rPr>
                <w:rFonts w:ascii="Times New Roman" w:hAnsi="Times New Roman"/>
                <w:sz w:val="16"/>
                <w:szCs w:val="16"/>
              </w:rPr>
            </w:pPr>
            <w:r>
              <w:rPr>
                <w:rFonts w:ascii="Times New Roman" w:hAnsi="Times New Roman"/>
                <w:sz w:val="16"/>
                <w:szCs w:val="16"/>
              </w:rPr>
              <w:t>Assumptions</w:t>
            </w:r>
          </w:p>
        </w:tc>
        <w:tc>
          <w:tcPr>
            <w:tcW w:w="6951" w:type="dxa"/>
            <w:tcBorders>
              <w:top w:val="single" w:color="auto" w:sz="4" w:space="0"/>
              <w:left w:val="single" w:color="auto" w:sz="4" w:space="0"/>
              <w:bottom w:val="single" w:color="auto" w:sz="4" w:space="0"/>
              <w:right w:val="single" w:color="auto" w:sz="4" w:space="0"/>
            </w:tcBorders>
            <w:shd w:val="clear" w:color="auto" w:fill="F2F2F2"/>
            <w:vAlign w:val="center"/>
          </w:tcPr>
          <w:p>
            <w:pPr>
              <w:pStyle w:val="96"/>
              <w:keepNext w:val="0"/>
              <w:keepLines w:val="0"/>
              <w:snapToGrid w:val="0"/>
              <w:rPr>
                <w:rFonts w:ascii="Times New Roman" w:hAnsi="Times New Roman"/>
                <w:sz w:val="16"/>
                <w:szCs w:val="16"/>
              </w:rPr>
            </w:pPr>
            <w:r>
              <w:rPr>
                <w:rFonts w:ascii="Times New Roman" w:hAnsi="Times New Roman"/>
                <w:sz w:val="16"/>
                <w:szCs w:val="16"/>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7"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Carrier Frequency [GHz]</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rPr>
              <w:t>60</w:t>
            </w:r>
            <w:r>
              <w:rPr>
                <w:rFonts w:ascii="Times New Roman" w:hAnsi="Times New Roman"/>
                <w:sz w:val="16"/>
                <w:szCs w:val="16"/>
                <w:lang w:val="en-US"/>
              </w:rPr>
              <w:t xml:space="preserve">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Subcarrier Spacing</w:t>
            </w:r>
            <w:r>
              <w:rPr>
                <w:rFonts w:ascii="Times New Roman" w:hAnsi="Times New Roman"/>
                <w:sz w:val="16"/>
                <w:szCs w:val="16"/>
                <w:lang w:val="en-US"/>
              </w:rPr>
              <w:t xml:space="preserve"> [kHz]</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rPr>
              <w:t>120,</w:t>
            </w:r>
            <w:r>
              <w:rPr>
                <w:rFonts w:ascii="Times New Roman" w:hAnsi="Times New Roman"/>
                <w:sz w:val="16"/>
                <w:szCs w:val="16"/>
                <w:lang w:val="en-US"/>
              </w:rPr>
              <w:t xml:space="preserve"> </w:t>
            </w:r>
            <w:r>
              <w:rPr>
                <w:rFonts w:ascii="Times New Roman" w:hAnsi="Times New Roman"/>
                <w:sz w:val="16"/>
                <w:szCs w:val="16"/>
              </w:rPr>
              <w:t>480, 960</w:t>
            </w:r>
            <w:r>
              <w:rPr>
                <w:rFonts w:ascii="Times New Roman" w:hAnsi="Times New Roman"/>
                <w:sz w:val="16"/>
                <w:szCs w:val="16"/>
                <w:lang w:val="en-US"/>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lang w:val="en-US"/>
              </w:rPr>
            </w:pPr>
            <w:r>
              <w:rPr>
                <w:rFonts w:ascii="Times New Roman" w:hAnsi="Times New Roman"/>
                <w:sz w:val="16"/>
                <w:szCs w:val="16"/>
                <w:lang w:val="en-US"/>
              </w:rPr>
              <w:t>Number of usable RBs per carrier</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256 for 120 kHz SCS (corresponds to ~400 MHz carrier)</w:t>
            </w:r>
          </w:p>
          <w:p>
            <w:pPr>
              <w:pStyle w:val="94"/>
              <w:snapToGrid w:val="0"/>
              <w:rPr>
                <w:rFonts w:ascii="Times New Roman" w:hAnsi="Times New Roman"/>
                <w:sz w:val="16"/>
                <w:szCs w:val="16"/>
                <w:lang w:val="en-US"/>
              </w:rPr>
            </w:pPr>
            <w:r>
              <w:rPr>
                <w:rFonts w:ascii="Times New Roman" w:hAnsi="Times New Roman"/>
                <w:sz w:val="16"/>
                <w:szCs w:val="16"/>
                <w:lang w:val="en-US"/>
              </w:rPr>
              <w:t>256 for 480 kHz SCS (corresponds to ~1600 MHz carrier)</w:t>
            </w:r>
          </w:p>
          <w:p>
            <w:pPr>
              <w:pStyle w:val="94"/>
              <w:snapToGrid w:val="0"/>
              <w:rPr>
                <w:rFonts w:ascii="Times New Roman" w:hAnsi="Times New Roman"/>
                <w:sz w:val="16"/>
                <w:szCs w:val="16"/>
                <w:lang w:val="en-US"/>
              </w:rPr>
            </w:pPr>
            <w:r>
              <w:rPr>
                <w:rFonts w:ascii="Times New Roman" w:hAnsi="Times New Roman"/>
                <w:sz w:val="16"/>
                <w:szCs w:val="16"/>
                <w:lang w:val="en-US"/>
              </w:rPr>
              <w:t>160 for 960 kHz SCS (corresponds to ~2000 MHz carrier)</w:t>
            </w:r>
          </w:p>
          <w:p>
            <w:pPr>
              <w:pStyle w:val="94"/>
              <w:snapToGrid w:val="0"/>
              <w:rPr>
                <w:rFonts w:ascii="Times New Roman" w:hAnsi="Times New Roman"/>
                <w:sz w:val="16"/>
                <w:szCs w:val="16"/>
                <w:lang w:val="en-US"/>
              </w:rPr>
            </w:pPr>
            <w:r>
              <w:rPr>
                <w:rFonts w:ascii="Times New Roman" w:hAnsi="Times New Roman"/>
                <w:sz w:val="16"/>
                <w:szCs w:val="16"/>
                <w:lang w:val="en-US"/>
              </w:rPr>
              <w:t xml:space="preserve"> </w:t>
            </w:r>
          </w:p>
          <w:p>
            <w:pPr>
              <w:pStyle w:val="94"/>
              <w:snapToGrid w:val="0"/>
              <w:rPr>
                <w:rFonts w:ascii="Times New Roman" w:hAnsi="Times New Roman"/>
                <w:sz w:val="16"/>
                <w:szCs w:val="16"/>
                <w:lang w:val="en-US"/>
              </w:rPr>
            </w:pPr>
            <w:r>
              <w:rPr>
                <w:rFonts w:ascii="Times New Roman" w:hAnsi="Times New Roman"/>
                <w:sz w:val="16"/>
                <w:szCs w:val="16"/>
                <w:lang w:val="en-US"/>
              </w:rPr>
              <w:t>Note: If other values used, companies to report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lang w:val="en-US"/>
              </w:rPr>
            </w:pPr>
            <w:r>
              <w:rPr>
                <w:rFonts w:ascii="Times New Roman" w:hAnsi="Times New Roman"/>
                <w:sz w:val="16"/>
                <w:szCs w:val="16"/>
                <w:lang w:val="en-US"/>
              </w:rPr>
              <w:t>PUCCH Frequency Hopping</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lang w:val="en-US"/>
              </w:rPr>
            </w:pPr>
            <w:r>
              <w:rPr>
                <w:rFonts w:ascii="Times New Roman" w:hAnsi="Times New Roman"/>
                <w:sz w:val="16"/>
                <w:szCs w:val="16"/>
                <w:lang w:val="en-US"/>
              </w:rPr>
              <w:t>PUCCH Frequency Domain Resource Mapping</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N_RB</w:t>
            </w:r>
            <w:r>
              <w:rPr>
                <w:rFonts w:hint="eastAsia" w:ascii="Times New Roman" w:hAnsi="Times New Roman"/>
                <w:sz w:val="16"/>
                <w:szCs w:val="16"/>
                <w:lang w:val="en-US" w:eastAsia="zh-CN"/>
              </w:rPr>
              <w:t xml:space="preserve"> = 5 for SCS 960kHz</w:t>
            </w:r>
            <w:r>
              <w:rPr>
                <w:rFonts w:ascii="Times New Roman" w:hAnsi="Times New Roman"/>
                <w:sz w:val="16"/>
                <w:szCs w:val="16"/>
                <w:lang w:val="en-US"/>
              </w:rPr>
              <w:t xml:space="preserve"> contiguous RBs per hop (with all REs allocated per PRB)</w:t>
            </w:r>
          </w:p>
          <w:p>
            <w:pPr>
              <w:pStyle w:val="94"/>
              <w:snapToGrid w:val="0"/>
              <w:rPr>
                <w:rFonts w:ascii="Times New Roman" w:hAnsi="Times New Roman"/>
                <w:sz w:val="16"/>
                <w:szCs w:val="16"/>
                <w:lang w:val="en-US"/>
              </w:rPr>
            </w:pPr>
            <w:r>
              <w:rPr>
                <w:rFonts w:ascii="Times New Roman" w:hAnsi="Times New Roman"/>
                <w:sz w:val="16"/>
                <w:szCs w:val="16"/>
                <w:lang w:val="en-US"/>
              </w:rPr>
              <w:t>N_RB</w:t>
            </w:r>
            <w:r>
              <w:rPr>
                <w:rFonts w:hint="eastAsia" w:ascii="Times New Roman" w:hAnsi="Times New Roman"/>
                <w:sz w:val="16"/>
                <w:szCs w:val="16"/>
                <w:lang w:val="en-US" w:eastAsia="zh-CN"/>
              </w:rPr>
              <w:t xml:space="preserve"> = 9 for SCS 4800kHz</w:t>
            </w:r>
            <w:r>
              <w:rPr>
                <w:rFonts w:ascii="Times New Roman" w:hAnsi="Times New Roman"/>
                <w:sz w:val="16"/>
                <w:szCs w:val="16"/>
                <w:lang w:val="en-US"/>
              </w:rPr>
              <w:t xml:space="preserve"> contiguous RBs per hop (with all REs allocated per PRB)</w:t>
            </w:r>
          </w:p>
          <w:p>
            <w:pPr>
              <w:pStyle w:val="94"/>
              <w:snapToGrid w:val="0"/>
              <w:rPr>
                <w:rFonts w:ascii="Times New Roman" w:hAnsi="Times New Roman"/>
                <w:sz w:val="16"/>
                <w:szCs w:val="16"/>
                <w:lang w:val="en-US"/>
              </w:rPr>
            </w:pPr>
            <w:r>
              <w:rPr>
                <w:rFonts w:hint="eastAsia" w:ascii="Times New Roman" w:hAnsi="Times New Roman"/>
                <w:sz w:val="16"/>
                <w:szCs w:val="16"/>
                <w:lang w:val="en-US" w:eastAsia="zh-CN"/>
              </w:rPr>
              <w:t>For PUCCH format 0/1,</w:t>
            </w:r>
            <w:r>
              <w:rPr>
                <w:rFonts w:ascii="Times New Roman" w:hAnsi="Times New Roman"/>
                <w:sz w:val="16"/>
                <w:szCs w:val="16"/>
                <w:lang w:val="en-US"/>
              </w:rPr>
              <w:t>N_RB</w:t>
            </w:r>
            <w:r>
              <w:rPr>
                <w:rFonts w:hint="eastAsia" w:ascii="Times New Roman" w:hAnsi="Times New Roman"/>
                <w:sz w:val="16"/>
                <w:szCs w:val="16"/>
                <w:lang w:val="en-US" w:eastAsia="zh-CN"/>
              </w:rPr>
              <w:t xml:space="preserve"> =12for SCS 120kHz</w:t>
            </w:r>
            <w:r>
              <w:rPr>
                <w:rFonts w:ascii="Times New Roman" w:hAnsi="Times New Roman"/>
                <w:sz w:val="16"/>
                <w:szCs w:val="16"/>
                <w:lang w:val="en-US"/>
              </w:rPr>
              <w:t xml:space="preserve"> contiguous RBs per hop (with all REs allocated per PRB)</w:t>
            </w:r>
            <w:r>
              <w:rPr>
                <w:rFonts w:hint="eastAsia" w:ascii="Times New Roman" w:hAnsi="Times New Roman"/>
                <w:sz w:val="16"/>
                <w:szCs w:val="16"/>
                <w:lang w:val="en-US" w:eastAsia="zh-CN"/>
              </w:rPr>
              <w:t>,and ,</w:t>
            </w:r>
            <w:r>
              <w:rPr>
                <w:rFonts w:ascii="Times New Roman" w:hAnsi="Times New Roman"/>
                <w:sz w:val="16"/>
                <w:szCs w:val="16"/>
                <w:lang w:val="en-US"/>
              </w:rPr>
              <w:t>N_RB</w:t>
            </w:r>
            <w:r>
              <w:rPr>
                <w:rFonts w:hint="eastAsia" w:ascii="Times New Roman" w:hAnsi="Times New Roman"/>
                <w:sz w:val="16"/>
                <w:szCs w:val="16"/>
                <w:lang w:val="en-US" w:eastAsia="zh-CN"/>
              </w:rPr>
              <w:t xml:space="preserve"> =32 for PUCCH format 4.</w:t>
            </w:r>
          </w:p>
          <w:p>
            <w:pPr>
              <w:pStyle w:val="94"/>
              <w:snapToGrid w:val="0"/>
              <w:rPr>
                <w:rFonts w:ascii="Times New Roman" w:hAnsi="Times New Roman"/>
                <w:sz w:val="16"/>
                <w:szCs w:val="16"/>
                <w:lang w:val="en-US"/>
              </w:rPr>
            </w:pPr>
            <w:r>
              <w:rPr>
                <w:rFonts w:ascii="Times New Roman" w:hAnsi="Times New Roman"/>
                <w:sz w:val="16"/>
                <w:szCs w:val="16"/>
                <w:lang w:val="en-US"/>
              </w:rPr>
              <w:t>Note: If alternative RE allocation per PRB is used, companies to report 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Waveform</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CP-OFDM for PF0/1</w:t>
            </w:r>
          </w:p>
          <w:p>
            <w:pPr>
              <w:pStyle w:val="94"/>
              <w:snapToGrid w:val="0"/>
              <w:rPr>
                <w:rFonts w:ascii="Times New Roman" w:hAnsi="Times New Roman"/>
                <w:sz w:val="16"/>
                <w:szCs w:val="16"/>
                <w:lang w:val="en-US"/>
              </w:rPr>
            </w:pPr>
            <w:r>
              <w:rPr>
                <w:rFonts w:ascii="Times New Roman" w:hAnsi="Times New Roman"/>
                <w:sz w:val="16"/>
                <w:szCs w:val="16"/>
                <w:lang w:val="en-US"/>
              </w:rPr>
              <w:t>DFT-s-OFDM for PF4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CP Type</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rPr>
            </w:pPr>
            <w:r>
              <w:rPr>
                <w:rFonts w:ascii="Times New Roman" w:hAnsi="Times New Roman"/>
                <w:sz w:val="16"/>
                <w:szCs w:val="16"/>
              </w:rPr>
              <w:t>Normal CP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7"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Channel Model</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TDL-A model as defined in of TR38.901 Section 7.7.2:</w:t>
            </w:r>
          </w:p>
          <w:p>
            <w:pPr>
              <w:pStyle w:val="94"/>
              <w:snapToGrid w:val="0"/>
              <w:rPr>
                <w:rFonts w:ascii="Times New Roman" w:hAnsi="Times New Roman"/>
                <w:sz w:val="16"/>
                <w:szCs w:val="16"/>
                <w:lang w:val="en-US"/>
              </w:rPr>
            </w:pPr>
            <w:r>
              <w:rPr>
                <w:rFonts w:ascii="Times New Roman" w:hAnsi="Times New Roman"/>
                <w:sz w:val="16"/>
                <w:szCs w:val="16"/>
                <w:lang w:val="en-US"/>
              </w:rPr>
              <w:t xml:space="preserve">- Delay spread (DS) = {5ns, 10ns, 20ns} </w:t>
            </w:r>
          </w:p>
          <w:p>
            <w:pPr>
              <w:pStyle w:val="94"/>
              <w:snapToGrid w:val="0"/>
              <w:rPr>
                <w:rFonts w:ascii="Times New Roman" w:hAnsi="Times New Roman"/>
                <w:sz w:val="16"/>
                <w:szCs w:val="16"/>
                <w:lang w:val="en-US"/>
              </w:rPr>
            </w:pPr>
            <w:r>
              <w:rPr>
                <w:rFonts w:ascii="Times New Roman" w:hAnsi="Times New Roman"/>
                <w:sz w:val="16"/>
                <w:szCs w:val="16"/>
              </w:rPr>
              <w:t xml:space="preserve">- </w:t>
            </w:r>
            <w:r>
              <w:rPr>
                <w:rFonts w:ascii="Times New Roman" w:hAnsi="Times New Roman"/>
                <w:sz w:val="16"/>
                <w:szCs w:val="16"/>
                <w:lang w:val="en-US"/>
              </w:rPr>
              <w:t>O</w:t>
            </w:r>
            <w:r>
              <w:rPr>
                <w:rFonts w:ascii="Times New Roman" w:hAnsi="Times New Roman"/>
                <w:sz w:val="16"/>
                <w:szCs w:val="16"/>
              </w:rPr>
              <w:t xml:space="preserve">ptional: </w:t>
            </w:r>
            <w:r>
              <w:rPr>
                <w:rFonts w:ascii="Times New Roman" w:hAnsi="Times New Roman"/>
                <w:sz w:val="16"/>
                <w:szCs w:val="16"/>
                <w:lang w:val="en-US"/>
              </w:rPr>
              <w:t xml:space="preserve">DS = </w:t>
            </w:r>
            <w:r>
              <w:rPr>
                <w:rFonts w:ascii="Times New Roman" w:hAnsi="Times New Roman"/>
                <w:sz w:val="16"/>
                <w:szCs w:val="16"/>
              </w:rPr>
              <w:t>40n</w:t>
            </w:r>
            <w:r>
              <w:rPr>
                <w:rFonts w:ascii="Times New Roman" w:hAnsi="Times New Roman"/>
                <w:sz w:val="16"/>
                <w:szCs w:val="16"/>
                <w:lang w:val="en-US"/>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lang w:val="en-US"/>
              </w:rPr>
            </w:pPr>
            <w:r>
              <w:rPr>
                <w:rFonts w:ascii="Times New Roman" w:hAnsi="Times New Roman"/>
                <w:sz w:val="16"/>
                <w:szCs w:val="16"/>
                <w:lang w:val="en-US"/>
              </w:rPr>
              <w:t>BS Antenna Configuration (Mg,Ng,M,N,P)</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rPr>
            </w:pPr>
            <w:r>
              <w:rPr>
                <w:rFonts w:ascii="Times New Roman" w:hAnsi="Times New Roman"/>
                <w:sz w:val="16"/>
                <w:szCs w:val="16"/>
                <w:lang w:val="en-US"/>
              </w:rPr>
              <w:t>{1,1,1,1,2}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lang w:val="en-US"/>
              </w:rPr>
            </w:pPr>
            <w:r>
              <w:rPr>
                <w:rFonts w:ascii="Times New Roman" w:hAnsi="Times New Roman"/>
                <w:sz w:val="16"/>
                <w:szCs w:val="16"/>
                <w:lang w:val="en-US"/>
              </w:rPr>
              <w:t>UE Antenna Configuration (Mg,Ng,M,N,P)</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{1,1,1,1,1}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Mobility</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rPr>
            </w:pPr>
            <w:r>
              <w:rPr>
                <w:rFonts w:ascii="Times New Roman" w:hAnsi="Times New Roman"/>
                <w:sz w:val="16"/>
                <w:szCs w:val="16"/>
              </w:rPr>
              <w:t>3 km/hr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PA Model</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None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gNB TRP PN Model</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Zero phase noise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UE PN Model</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Zero phase noise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Pre-loaded Tx EVM</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Additive Rx EVM</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I-Q Imbalance</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None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Frequency Offset</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lang w:val="en-US"/>
              </w:rPr>
            </w:pPr>
            <w:r>
              <w:rPr>
                <w:rFonts w:ascii="Times New Roman" w:hAnsi="Times New Roman"/>
                <w:sz w:val="16"/>
                <w:szCs w:val="16"/>
                <w:lang w:val="en-US"/>
              </w:rPr>
              <w:t>0 ppm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trPr>
        <w:tc>
          <w:tcPr>
            <w:tcW w:w="2404" w:type="dxa"/>
            <w:tcBorders>
              <w:top w:val="single" w:color="auto" w:sz="4" w:space="0"/>
              <w:left w:val="single" w:color="auto" w:sz="4" w:space="0"/>
              <w:bottom w:val="single" w:color="auto" w:sz="4" w:space="0"/>
              <w:right w:val="single" w:color="auto" w:sz="4" w:space="0"/>
            </w:tcBorders>
            <w:vAlign w:val="center"/>
          </w:tcPr>
          <w:p>
            <w:pPr>
              <w:pStyle w:val="95"/>
              <w:keepNext w:val="0"/>
              <w:keepLines w:val="0"/>
              <w:snapToGrid w:val="0"/>
              <w:rPr>
                <w:rFonts w:ascii="Times New Roman" w:hAnsi="Times New Roman"/>
                <w:sz w:val="16"/>
                <w:szCs w:val="16"/>
              </w:rPr>
            </w:pPr>
            <w:r>
              <w:rPr>
                <w:rFonts w:ascii="Times New Roman" w:hAnsi="Times New Roman"/>
                <w:sz w:val="16"/>
                <w:szCs w:val="16"/>
              </w:rPr>
              <w:t>Channel Estimation</w:t>
            </w:r>
          </w:p>
        </w:tc>
        <w:tc>
          <w:tcPr>
            <w:tcW w:w="6951" w:type="dxa"/>
            <w:tcBorders>
              <w:top w:val="single" w:color="auto" w:sz="4" w:space="0"/>
              <w:left w:val="single" w:color="auto" w:sz="4" w:space="0"/>
              <w:bottom w:val="single" w:color="auto" w:sz="4" w:space="0"/>
              <w:right w:val="single" w:color="auto" w:sz="4" w:space="0"/>
            </w:tcBorders>
            <w:vAlign w:val="center"/>
          </w:tcPr>
          <w:p>
            <w:pPr>
              <w:pStyle w:val="94"/>
              <w:snapToGrid w:val="0"/>
              <w:rPr>
                <w:rFonts w:ascii="Times New Roman" w:hAnsi="Times New Roman"/>
                <w:sz w:val="16"/>
                <w:szCs w:val="16"/>
              </w:rPr>
            </w:pPr>
            <w:r>
              <w:rPr>
                <w:rFonts w:ascii="Times New Roman" w:hAnsi="Times New Roman"/>
                <w:sz w:val="16"/>
                <w:szCs w:val="16"/>
              </w:rPr>
              <w:t>Realistic channel estimation</w:t>
            </w:r>
          </w:p>
        </w:tc>
      </w:tr>
    </w:tbl>
    <w:p>
      <w:pPr>
        <w:pStyle w:val="32"/>
      </w:pPr>
    </w:p>
    <w:p>
      <w:pPr>
        <w:pStyle w:val="99"/>
        <w:rPr>
          <w:rFonts w:ascii="Times New Roman" w:hAnsi="Times New Roman"/>
          <w:lang w:val="en-US"/>
        </w:rPr>
      </w:pPr>
      <w:r>
        <w:rPr>
          <w:rFonts w:ascii="Times New Roman" w:hAnsi="Times New Roman"/>
          <w:lang w:val="en-US"/>
        </w:rPr>
        <w:t xml:space="preserve">Table </w:t>
      </w:r>
      <w:r>
        <w:rPr>
          <w:rFonts w:hint="eastAsia" w:ascii="Times New Roman" w:hAnsi="Times New Roman" w:eastAsia="宋体"/>
          <w:lang w:val="en-US" w:eastAsia="zh-CN"/>
        </w:rPr>
        <w:t>A2-</w:t>
      </w:r>
      <w:r>
        <w:rPr>
          <w:rFonts w:ascii="Times New Roman" w:hAnsi="Times New Roman"/>
          <w:lang w:val="en-US"/>
        </w:rPr>
        <w:t>2: Reporting metrics</w:t>
      </w:r>
    </w:p>
    <w:tbl>
      <w:tblPr>
        <w:tblStyle w:val="61"/>
        <w:tblW w:w="93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2"/>
        <w:gridCol w:w="1533"/>
        <w:gridCol w:w="5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E7E6E6" w:themeFill="background2"/>
          </w:tcPr>
          <w:p>
            <w:pPr>
              <w:snapToGrid w:val="0"/>
              <w:spacing w:after="0" w:line="240" w:lineRule="auto"/>
              <w:rPr>
                <w:rFonts w:eastAsia="Batang"/>
                <w:b/>
                <w:sz w:val="16"/>
                <w:szCs w:val="16"/>
                <w:lang w:eastAsia="zh-CN"/>
              </w:rPr>
            </w:pPr>
            <w:r>
              <w:rPr>
                <w:rFonts w:eastAsia="Batang"/>
                <w:b/>
                <w:sz w:val="16"/>
                <w:szCs w:val="16"/>
                <w:lang w:eastAsia="zh-CN"/>
              </w:rPr>
              <w:t>Parameter</w:t>
            </w:r>
          </w:p>
        </w:tc>
        <w:tc>
          <w:tcPr>
            <w:tcW w:w="1533" w:type="dxa"/>
            <w:shd w:val="clear" w:color="auto" w:fill="E7E6E6" w:themeFill="background2"/>
          </w:tcPr>
          <w:p>
            <w:pPr>
              <w:snapToGrid w:val="0"/>
              <w:spacing w:after="0" w:line="240" w:lineRule="auto"/>
              <w:rPr>
                <w:rFonts w:eastAsia="Batang"/>
                <w:b/>
                <w:sz w:val="16"/>
                <w:szCs w:val="16"/>
                <w:lang w:eastAsia="zh-CN"/>
              </w:rPr>
            </w:pPr>
            <w:r>
              <w:rPr>
                <w:rFonts w:eastAsia="Batang"/>
                <w:b/>
                <w:sz w:val="16"/>
                <w:szCs w:val="16"/>
                <w:lang w:eastAsia="zh-CN"/>
              </w:rPr>
              <w:t>Value</w:t>
            </w:r>
          </w:p>
        </w:tc>
        <w:tc>
          <w:tcPr>
            <w:tcW w:w="5677" w:type="dxa"/>
            <w:shd w:val="clear" w:color="auto" w:fill="E7E6E6" w:themeFill="background2"/>
          </w:tcPr>
          <w:p>
            <w:pPr>
              <w:snapToGrid w:val="0"/>
              <w:spacing w:after="0" w:line="240" w:lineRule="auto"/>
              <w:rPr>
                <w:rFonts w:eastAsia="Batang"/>
                <w:b/>
                <w:sz w:val="16"/>
                <w:szCs w:val="16"/>
                <w:lang w:eastAsia="zh-CN"/>
              </w:rPr>
            </w:pPr>
            <w:r>
              <w:rPr>
                <w:rFonts w:eastAsia="Batang"/>
                <w:b/>
                <w:sz w:val="16"/>
                <w:szCs w:val="16"/>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PUCCH Format</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PF0, PF1, PF4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Subcarrier spacing, SCS [kHz]</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sz w:val="16"/>
                <w:szCs w:val="16"/>
                <w:lang w:val="en-US"/>
              </w:rPr>
              <w:t xml:space="preserve">SCS = </w:t>
            </w:r>
            <w:r>
              <w:rPr>
                <w:sz w:val="16"/>
                <w:szCs w:val="16"/>
              </w:rPr>
              <w:t>{120,</w:t>
            </w:r>
            <w:r>
              <w:rPr>
                <w:sz w:val="16"/>
                <w:szCs w:val="16"/>
                <w:lang w:val="en-US"/>
              </w:rPr>
              <w:t xml:space="preserve"> </w:t>
            </w:r>
            <w:r>
              <w:rPr>
                <w:sz w:val="16"/>
                <w:szCs w:val="16"/>
              </w:rPr>
              <w:t>480, 960}</w:t>
            </w:r>
            <w:r>
              <w:rPr>
                <w:sz w:val="16"/>
                <w:szCs w:val="16"/>
                <w:lang w:val="en-US"/>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Frequency hopping details</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sz w:val="16"/>
                <w:szCs w:val="16"/>
                <w:lang w:val="en-US"/>
              </w:rPr>
            </w:pPr>
            <w:r>
              <w:rPr>
                <w:sz w:val="16"/>
                <w:szCs w:val="16"/>
                <w:lang w:val="en-US"/>
              </w:rPr>
              <w:t>Frequency offset between hops,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Number of RBs used per hop (N_RB)</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pStyle w:val="94"/>
              <w:snapToGrid w:val="0"/>
              <w:spacing w:line="240" w:lineRule="auto"/>
              <w:rPr>
                <w:rFonts w:ascii="Times New Roman" w:hAnsi="Times New Roman"/>
                <w:sz w:val="16"/>
                <w:szCs w:val="16"/>
                <w:lang w:val="en-US"/>
              </w:rPr>
            </w:pPr>
            <w:r>
              <w:rPr>
                <w:rFonts w:ascii="Times New Roman" w:hAnsi="Times New Roman"/>
                <w:sz w:val="16"/>
                <w:szCs w:val="16"/>
                <w:lang w:val="en-US"/>
              </w:rPr>
              <w:t>N_RB contiguous RBs per hop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vAlign w:val="center"/>
          </w:tcPr>
          <w:p>
            <w:pPr>
              <w:snapToGrid w:val="0"/>
              <w:spacing w:after="0" w:line="240" w:lineRule="auto"/>
              <w:rPr>
                <w:rFonts w:eastAsia="Batang"/>
                <w:sz w:val="16"/>
                <w:szCs w:val="16"/>
                <w:lang w:eastAsia="zh-CN"/>
              </w:rPr>
            </w:pPr>
            <w:r>
              <w:rPr>
                <w:sz w:val="16"/>
                <w:szCs w:val="16"/>
                <w:lang w:val="en-US"/>
              </w:rPr>
              <w:t xml:space="preserve">PUCCH </w:t>
            </w:r>
            <w:r>
              <w:rPr>
                <w:sz w:val="16"/>
                <w:szCs w:val="16"/>
              </w:rPr>
              <w:t>bandwidth per hop</w:t>
            </w:r>
            <w:r>
              <w:rPr>
                <w:sz w:val="16"/>
                <w:szCs w:val="16"/>
                <w:lang w:val="en-US"/>
              </w:rPr>
              <w:t>, BW</w:t>
            </w:r>
            <w:r>
              <w:rPr>
                <w:sz w:val="16"/>
                <w:szCs w:val="16"/>
              </w:rPr>
              <w:t xml:space="preserve"> [MHz]</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pStyle w:val="94"/>
              <w:snapToGrid w:val="0"/>
              <w:spacing w:line="240" w:lineRule="auto"/>
              <w:rPr>
                <w:rFonts w:ascii="Times New Roman" w:hAnsi="Times New Roman"/>
                <w:sz w:val="16"/>
                <w:szCs w:val="16"/>
                <w:lang w:val="en-US"/>
              </w:rPr>
            </w:pPr>
            <w:r>
              <w:rPr>
                <w:rFonts w:ascii="Times New Roman" w:hAnsi="Times New Roman"/>
                <w:sz w:val="16"/>
                <w:szCs w:val="16"/>
                <w:lang w:val="en-US"/>
              </w:rPr>
              <w:t>BW = N_RB * 12 * SCS / 1e6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Number of OFDM symbols used for PUCCH resource</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1 for PF0</w:t>
            </w:r>
          </w:p>
          <w:p>
            <w:pPr>
              <w:snapToGrid w:val="0"/>
              <w:spacing w:after="0" w:line="240" w:lineRule="auto"/>
              <w:rPr>
                <w:rFonts w:eastAsia="Batang"/>
                <w:sz w:val="16"/>
                <w:szCs w:val="16"/>
                <w:lang w:eastAsia="zh-CN"/>
              </w:rPr>
            </w:pPr>
            <w:r>
              <w:rPr>
                <w:rFonts w:hint="eastAsia" w:eastAsia="Batang"/>
                <w:sz w:val="16"/>
                <w:szCs w:val="16"/>
                <w:lang w:val="en-US" w:eastAsia="zh-CN"/>
              </w:rPr>
              <w:t>4</w:t>
            </w:r>
            <w:r>
              <w:rPr>
                <w:rFonts w:eastAsia="Batang"/>
                <w:sz w:val="16"/>
                <w:szCs w:val="16"/>
                <w:lang w:eastAsia="zh-CN"/>
              </w:rPr>
              <w:t xml:space="preserve"> for PF4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Sequence construction details</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Sequence type for PF0/1</w:t>
            </w:r>
          </w:p>
          <w:p>
            <w:pPr>
              <w:snapToGrid w:val="0"/>
              <w:spacing w:after="0" w:line="240" w:lineRule="auto"/>
              <w:rPr>
                <w:rFonts w:eastAsia="Batang"/>
                <w:sz w:val="16"/>
                <w:szCs w:val="16"/>
                <w:lang w:eastAsia="zh-CN"/>
              </w:rPr>
            </w:pPr>
            <w:r>
              <w:rPr>
                <w:rFonts w:eastAsia="Batang"/>
                <w:sz w:val="16"/>
                <w:szCs w:val="16"/>
                <w:lang w:eastAsia="zh-CN"/>
              </w:rPr>
              <w:t>Sequence type for DMRS of PF4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OCC configuration details</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Applicable for PF1, PF4</w:t>
            </w:r>
          </w:p>
          <w:p>
            <w:pPr>
              <w:snapToGrid w:val="0"/>
              <w:spacing w:after="0" w:line="240" w:lineRule="auto"/>
              <w:rPr>
                <w:rFonts w:eastAsia="Batang"/>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Cyclic shift configuration details</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For PF0/1</w:t>
            </w:r>
          </w:p>
          <w:p>
            <w:pPr>
              <w:snapToGrid w:val="0"/>
              <w:spacing w:after="0" w:line="240" w:lineRule="auto"/>
              <w:rPr>
                <w:rFonts w:eastAsia="Batang"/>
                <w:sz w:val="16"/>
                <w:szCs w:val="16"/>
                <w:lang w:eastAsia="zh-CN"/>
              </w:rPr>
            </w:pPr>
            <w:r>
              <w:rPr>
                <w:rFonts w:eastAsia="Batang"/>
                <w:sz w:val="16"/>
                <w:szCs w:val="16"/>
                <w:lang w:eastAsia="zh-CN"/>
              </w:rPr>
              <w:t>For DMRS of PF4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Number of multiplexed users, e.g., by code division, if applicable</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1 user</w:t>
            </w:r>
          </w:p>
          <w:p>
            <w:pPr>
              <w:snapToGrid w:val="0"/>
              <w:spacing w:after="0" w:line="240" w:lineRule="auto"/>
              <w:rPr>
                <w:rFonts w:eastAsia="Batang"/>
                <w:sz w:val="16"/>
                <w:szCs w:val="16"/>
                <w:lang w:eastAsia="zh-CN"/>
              </w:rPr>
            </w:pPr>
          </w:p>
          <w:p>
            <w:pPr>
              <w:snapToGrid w:val="0"/>
              <w:spacing w:after="0" w:line="240" w:lineRule="auto"/>
              <w:rPr>
                <w:rFonts w:eastAsia="Batang"/>
                <w:sz w:val="16"/>
                <w:szCs w:val="16"/>
                <w:lang w:eastAsia="zh-CN"/>
              </w:rPr>
            </w:pPr>
            <w:r>
              <w:rPr>
                <w:rFonts w:eastAsia="Batang"/>
                <w:sz w:val="16"/>
                <w:szCs w:val="16"/>
                <w:lang w:eastAsia="zh-CN"/>
              </w:rPr>
              <w:t>Note: Companies to report if other cases if evaluated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PUCCH payload encoder type</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Reed Muller or Polar for PF4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PUCCH payload size(s) (bits)</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If multiple payload sizes evaluated, then maximum isotropic loss (see calculation below) to be reported for each PUCCH payload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tcBorders>
              <w:bottom w:val="double" w:color="auto" w:sz="4" w:space="0"/>
            </w:tcBorders>
            <w:shd w:val="clear" w:color="auto" w:fill="auto"/>
          </w:tcPr>
          <w:p>
            <w:pPr>
              <w:snapToGrid w:val="0"/>
              <w:spacing w:after="0" w:line="240" w:lineRule="auto"/>
              <w:rPr>
                <w:rFonts w:eastAsia="Batang"/>
                <w:sz w:val="16"/>
                <w:szCs w:val="16"/>
                <w:lang w:eastAsia="zh-CN"/>
              </w:rPr>
            </w:pPr>
            <w:r>
              <w:rPr>
                <w:rFonts w:eastAsia="Batang"/>
                <w:sz w:val="16"/>
                <w:szCs w:val="16"/>
                <w:lang w:eastAsia="zh-CN"/>
              </w:rPr>
              <w:t>PUCCH encoding rate(s)</w:t>
            </w:r>
          </w:p>
        </w:tc>
        <w:tc>
          <w:tcPr>
            <w:tcW w:w="1533" w:type="dxa"/>
            <w:tcBorders>
              <w:bottom w:val="double" w:color="auto" w:sz="4" w:space="0"/>
            </w:tcBorders>
            <w:shd w:val="clear" w:color="auto" w:fill="auto"/>
          </w:tcPr>
          <w:p>
            <w:pPr>
              <w:snapToGrid w:val="0"/>
              <w:spacing w:after="0" w:line="240" w:lineRule="auto"/>
              <w:rPr>
                <w:rFonts w:eastAsia="Batang"/>
                <w:sz w:val="16"/>
                <w:szCs w:val="16"/>
                <w:lang w:eastAsia="zh-CN"/>
              </w:rPr>
            </w:pPr>
          </w:p>
        </w:tc>
        <w:tc>
          <w:tcPr>
            <w:tcW w:w="5677" w:type="dxa"/>
            <w:tcBorders>
              <w:bottom w:val="double" w:color="auto" w:sz="4" w:space="0"/>
            </w:tcBorders>
            <w:shd w:val="clear" w:color="auto" w:fill="auto"/>
          </w:tcPr>
          <w:p>
            <w:pPr>
              <w:snapToGrid w:val="0"/>
              <w:spacing w:after="0" w:line="240" w:lineRule="auto"/>
              <w:rPr>
                <w:rFonts w:eastAsia="Batang"/>
                <w:sz w:val="16"/>
                <w:szCs w:val="16"/>
                <w:lang w:eastAsia="zh-CN"/>
              </w:rPr>
            </w:pPr>
            <w:r>
              <w:rPr>
                <w:rFonts w:eastAsia="Batang"/>
                <w:sz w:val="16"/>
                <w:szCs w:val="16"/>
                <w:lang w:eastAsia="zh-CN"/>
              </w:rPr>
              <w:t>Applicable for PF4</w:t>
            </w:r>
          </w:p>
          <w:p>
            <w:pPr>
              <w:snapToGrid w:val="0"/>
              <w:spacing w:after="0" w:line="240" w:lineRule="auto"/>
              <w:rPr>
                <w:rFonts w:eastAsia="Batang"/>
                <w:sz w:val="16"/>
                <w:szCs w:val="16"/>
                <w:lang w:eastAsia="zh-CN"/>
              </w:rPr>
            </w:pPr>
            <w:r>
              <w:rPr>
                <w:rFonts w:eastAsia="Batang"/>
                <w:sz w:val="16"/>
                <w:szCs w:val="16"/>
                <w:lang w:eastAsia="zh-CN"/>
              </w:rPr>
              <w:t>If multiple payload sizes evaluated, encoding rates to be reported for each payload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tcBorders>
              <w:top w:val="double" w:color="auto" w:sz="4" w:space="0"/>
            </w:tcBorders>
            <w:shd w:val="clear" w:color="auto" w:fill="auto"/>
            <w:vAlign w:val="center"/>
          </w:tcPr>
          <w:p>
            <w:pPr>
              <w:snapToGrid w:val="0"/>
              <w:spacing w:after="0" w:line="240" w:lineRule="auto"/>
              <w:rPr>
                <w:rFonts w:eastAsia="Batang"/>
                <w:sz w:val="16"/>
                <w:szCs w:val="16"/>
                <w:lang w:eastAsia="zh-CN"/>
              </w:rPr>
            </w:pPr>
            <w:r>
              <w:rPr>
                <w:rFonts w:eastAsia="Batang"/>
                <w:sz w:val="16"/>
                <w:szCs w:val="16"/>
                <w:lang w:eastAsia="zh-CN"/>
              </w:rPr>
              <w:t>Required SNR (dB)</w:t>
            </w:r>
          </w:p>
        </w:tc>
        <w:tc>
          <w:tcPr>
            <w:tcW w:w="1533" w:type="dxa"/>
            <w:tcBorders>
              <w:top w:val="double" w:color="auto" w:sz="4" w:space="0"/>
            </w:tcBorders>
            <w:shd w:val="clear" w:color="auto" w:fill="auto"/>
          </w:tcPr>
          <w:p>
            <w:pPr>
              <w:snapToGrid w:val="0"/>
              <w:spacing w:after="0" w:line="240" w:lineRule="auto"/>
              <w:rPr>
                <w:rFonts w:eastAsia="Batang"/>
                <w:sz w:val="16"/>
                <w:szCs w:val="16"/>
                <w:lang w:eastAsia="zh-CN"/>
              </w:rPr>
            </w:pPr>
          </w:p>
        </w:tc>
        <w:tc>
          <w:tcPr>
            <w:tcW w:w="5677" w:type="dxa"/>
            <w:tcBorders>
              <w:top w:val="double" w:color="auto" w:sz="4" w:space="0"/>
            </w:tcBorders>
            <w:shd w:val="clear" w:color="auto" w:fill="auto"/>
          </w:tcPr>
          <w:p>
            <w:pPr>
              <w:keepNext/>
              <w:keepLines/>
              <w:snapToGrid w:val="0"/>
              <w:spacing w:after="0" w:line="240" w:lineRule="auto"/>
              <w:rPr>
                <w:rFonts w:eastAsia="宋体"/>
                <w:sz w:val="16"/>
                <w:szCs w:val="16"/>
              </w:rPr>
            </w:pPr>
            <w:r>
              <w:rPr>
                <w:rFonts w:eastAsia="Batang"/>
                <w:sz w:val="16"/>
                <w:szCs w:val="16"/>
                <w:lang w:eastAsia="zh-CN"/>
              </w:rPr>
              <w:t>Required SNR needed to fulfil detection criterion, from link level simulations based on Table 1 (see Notes (1) and (2) at bottom of table for definition of detection criteria for PF 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vAlign w:val="center"/>
          </w:tcPr>
          <w:p>
            <w:pPr>
              <w:snapToGrid w:val="0"/>
              <w:spacing w:after="0" w:line="240" w:lineRule="auto"/>
              <w:rPr>
                <w:rFonts w:eastAsia="Batang"/>
                <w:sz w:val="16"/>
                <w:szCs w:val="16"/>
                <w:lang w:eastAsia="zh-CN"/>
              </w:rPr>
            </w:pPr>
            <w:r>
              <w:rPr>
                <w:rFonts w:eastAsia="Batang"/>
                <w:sz w:val="16"/>
                <w:szCs w:val="16"/>
                <w:lang w:eastAsia="zh-CN"/>
              </w:rPr>
              <w:t>Cubic Metric, CM (dB)</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keepNext/>
              <w:keepLines/>
              <w:snapToGrid w:val="0"/>
              <w:spacing w:after="0" w:line="240" w:lineRule="auto"/>
              <w:rPr>
                <w:rFonts w:eastAsia="宋体"/>
                <w:sz w:val="16"/>
                <w:szCs w:val="16"/>
              </w:rPr>
            </w:pPr>
            <w:r>
              <w:rPr>
                <w:rFonts w:eastAsia="Batang"/>
                <w:sz w:val="16"/>
                <w:szCs w:val="16"/>
                <w:lang w:eastAsia="zh-CN"/>
              </w:rPr>
              <w:t>Reported value is the 95</w:t>
            </w:r>
            <w:r>
              <w:rPr>
                <w:rFonts w:eastAsia="Batang"/>
                <w:sz w:val="16"/>
                <w:szCs w:val="16"/>
                <w:vertAlign w:val="superscript"/>
                <w:lang w:eastAsia="zh-CN"/>
              </w:rPr>
              <w:t>th</w:t>
            </w:r>
            <w:r>
              <w:rPr>
                <w:rFonts w:eastAsia="Batang"/>
                <w:sz w:val="16"/>
                <w:szCs w:val="16"/>
                <w:lang w:eastAsia="zh-CN"/>
              </w:rPr>
              <w:t xml:space="preserve"> percentile, i.e., the CM for which 95% of all sequences of the design fall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UE Tx Beamforming gain (dBi)</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keepNext/>
              <w:keepLines/>
              <w:snapToGrid w:val="0"/>
              <w:spacing w:after="0" w:line="240" w:lineRule="auto"/>
              <w:rPr>
                <w:rFonts w:eastAsia="宋体"/>
                <w:sz w:val="16"/>
                <w:szCs w:val="16"/>
              </w:rPr>
            </w:pPr>
            <w:r>
              <w:rPr>
                <w:rFonts w:eastAsia="宋体"/>
                <w:sz w:val="16"/>
                <w:szCs w:val="16"/>
              </w:rPr>
              <w:t>TxBF = 6 dBi</w:t>
            </w:r>
          </w:p>
          <w:p>
            <w:pPr>
              <w:keepNext/>
              <w:keepLines/>
              <w:snapToGrid w:val="0"/>
              <w:spacing w:after="0" w:line="240" w:lineRule="auto"/>
              <w:rPr>
                <w:rFonts w:eastAsia="宋体"/>
                <w:sz w:val="16"/>
                <w:szCs w:val="16"/>
              </w:rPr>
            </w:pPr>
          </w:p>
          <w:p>
            <w:pPr>
              <w:snapToGrid w:val="0"/>
              <w:spacing w:after="0" w:line="240" w:lineRule="auto"/>
              <w:rPr>
                <w:rFonts w:eastAsia="宋体"/>
                <w:sz w:val="16"/>
                <w:szCs w:val="16"/>
              </w:rPr>
            </w:pPr>
            <w:r>
              <w:rPr>
                <w:rFonts w:eastAsia="宋体"/>
                <w:sz w:val="16"/>
                <w:szCs w:val="16"/>
              </w:rPr>
              <w:t>Notes:</w:t>
            </w:r>
          </w:p>
          <w:p>
            <w:pPr>
              <w:pStyle w:val="168"/>
              <w:numPr>
                <w:ilvl w:val="0"/>
                <w:numId w:val="26"/>
              </w:numPr>
              <w:snapToGrid w:val="0"/>
              <w:spacing w:line="240" w:lineRule="auto"/>
              <w:rPr>
                <w:rFonts w:ascii="Times New Roman" w:hAnsi="Times New Roman" w:eastAsia="Batang"/>
                <w:sz w:val="16"/>
                <w:szCs w:val="16"/>
                <w:lang w:eastAsia="zh-CN"/>
              </w:rPr>
            </w:pPr>
            <w:r>
              <w:rPr>
                <w:rFonts w:ascii="Times New Roman" w:hAnsi="Times New Roman" w:eastAsia="宋体"/>
                <w:sz w:val="16"/>
                <w:szCs w:val="16"/>
                <w:lang w:val="en-US"/>
              </w:rPr>
              <w:t>TxBF includes antenna element gain</w:t>
            </w:r>
          </w:p>
          <w:p>
            <w:pPr>
              <w:pStyle w:val="168"/>
              <w:numPr>
                <w:ilvl w:val="0"/>
                <w:numId w:val="26"/>
              </w:numPr>
              <w:snapToGrid w:val="0"/>
              <w:spacing w:line="240" w:lineRule="auto"/>
              <w:rPr>
                <w:rFonts w:ascii="Times New Roman" w:hAnsi="Times New Roman" w:eastAsia="Batang"/>
                <w:sz w:val="16"/>
                <w:szCs w:val="16"/>
                <w:lang w:val="en-US" w:eastAsia="zh-CN"/>
              </w:rPr>
            </w:pPr>
            <w:r>
              <w:rPr>
                <w:rFonts w:ascii="Times New Roman" w:hAnsi="Times New Roman" w:eastAsia="宋体"/>
                <w:sz w:val="16"/>
                <w:szCs w:val="16"/>
                <w:lang w:val="en-US"/>
              </w:rPr>
              <w:t>If other TxBF value(s) used, companies to report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BS Rx Beamforming gain (dBi)</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keepNext/>
              <w:keepLines/>
              <w:snapToGrid w:val="0"/>
              <w:spacing w:after="0" w:line="240" w:lineRule="auto"/>
              <w:rPr>
                <w:rFonts w:eastAsia="宋体"/>
                <w:sz w:val="16"/>
                <w:szCs w:val="16"/>
              </w:rPr>
            </w:pPr>
            <w:r>
              <w:rPr>
                <w:rFonts w:eastAsia="宋体"/>
                <w:sz w:val="16"/>
                <w:szCs w:val="16"/>
              </w:rPr>
              <w:t>RxBF = 20 dBi</w:t>
            </w:r>
          </w:p>
          <w:p>
            <w:pPr>
              <w:keepNext/>
              <w:keepLines/>
              <w:snapToGrid w:val="0"/>
              <w:spacing w:after="0" w:line="240" w:lineRule="auto"/>
              <w:rPr>
                <w:rFonts w:eastAsia="宋体"/>
                <w:sz w:val="16"/>
                <w:szCs w:val="16"/>
              </w:rPr>
            </w:pPr>
          </w:p>
          <w:p>
            <w:pPr>
              <w:snapToGrid w:val="0"/>
              <w:spacing w:after="0" w:line="240" w:lineRule="auto"/>
              <w:rPr>
                <w:rFonts w:eastAsia="宋体"/>
                <w:sz w:val="16"/>
                <w:szCs w:val="16"/>
              </w:rPr>
            </w:pPr>
            <w:r>
              <w:rPr>
                <w:rFonts w:eastAsia="宋体"/>
                <w:sz w:val="16"/>
                <w:szCs w:val="16"/>
              </w:rPr>
              <w:t>Notes:</w:t>
            </w:r>
          </w:p>
          <w:p>
            <w:pPr>
              <w:pStyle w:val="168"/>
              <w:numPr>
                <w:ilvl w:val="0"/>
                <w:numId w:val="27"/>
              </w:numPr>
              <w:snapToGrid w:val="0"/>
              <w:spacing w:line="240" w:lineRule="auto"/>
              <w:rPr>
                <w:rFonts w:ascii="Times New Roman" w:hAnsi="Times New Roman" w:eastAsia="Batang"/>
                <w:sz w:val="16"/>
                <w:szCs w:val="16"/>
                <w:lang w:eastAsia="zh-CN"/>
              </w:rPr>
            </w:pPr>
            <w:r>
              <w:rPr>
                <w:rFonts w:ascii="Times New Roman" w:hAnsi="Times New Roman" w:eastAsia="宋体"/>
                <w:sz w:val="16"/>
                <w:szCs w:val="16"/>
                <w:lang w:val="en-US"/>
              </w:rPr>
              <w:t>RxBF includes antenna element gain</w:t>
            </w:r>
          </w:p>
          <w:p>
            <w:pPr>
              <w:pStyle w:val="168"/>
              <w:numPr>
                <w:ilvl w:val="0"/>
                <w:numId w:val="27"/>
              </w:numPr>
              <w:snapToGrid w:val="0"/>
              <w:spacing w:line="240" w:lineRule="auto"/>
              <w:rPr>
                <w:rFonts w:ascii="Times New Roman" w:hAnsi="Times New Roman" w:eastAsia="Batang"/>
                <w:sz w:val="16"/>
                <w:szCs w:val="16"/>
                <w:lang w:val="en-US" w:eastAsia="zh-CN"/>
              </w:rPr>
            </w:pPr>
            <w:r>
              <w:rPr>
                <w:rFonts w:ascii="Times New Roman" w:hAnsi="Times New Roman" w:eastAsia="宋体"/>
                <w:sz w:val="16"/>
                <w:szCs w:val="16"/>
                <w:lang w:val="en-US"/>
              </w:rPr>
              <w:t>If other RxBF value(s) used, companies to report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vAlign w:val="center"/>
          </w:tcPr>
          <w:p>
            <w:pPr>
              <w:snapToGrid w:val="0"/>
              <w:spacing w:after="0" w:line="240" w:lineRule="auto"/>
              <w:rPr>
                <w:rFonts w:eastAsia="Batang"/>
                <w:sz w:val="16"/>
                <w:szCs w:val="16"/>
                <w:lang w:eastAsia="zh-CN"/>
              </w:rPr>
            </w:pPr>
            <w:r>
              <w:rPr>
                <w:rFonts w:eastAsia="Batang"/>
                <w:sz w:val="16"/>
                <w:szCs w:val="16"/>
                <w:lang w:eastAsia="zh-CN"/>
              </w:rPr>
              <w:t>UE Power Limitations</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pStyle w:val="94"/>
              <w:snapToGrid w:val="0"/>
              <w:spacing w:line="240" w:lineRule="auto"/>
              <w:rPr>
                <w:rFonts w:ascii="Times New Roman" w:hAnsi="Times New Roman"/>
                <w:sz w:val="16"/>
                <w:szCs w:val="16"/>
                <w:lang w:val="en-US"/>
              </w:rPr>
            </w:pPr>
            <w:r>
              <w:rPr>
                <w:rFonts w:ascii="Times New Roman" w:hAnsi="Times New Roman"/>
                <w:sz w:val="16"/>
                <w:szCs w:val="16"/>
                <w:lang w:val="en-US"/>
              </w:rPr>
              <w:t>Maximum EIRP:</w:t>
            </w:r>
          </w:p>
          <w:p>
            <w:pPr>
              <w:pStyle w:val="94"/>
              <w:snapToGrid w:val="0"/>
              <w:spacing w:line="240" w:lineRule="auto"/>
              <w:rPr>
                <w:rFonts w:ascii="Times New Roman" w:hAnsi="Times New Roman"/>
                <w:sz w:val="16"/>
                <w:szCs w:val="16"/>
                <w:lang w:val="en-US"/>
              </w:rPr>
            </w:pPr>
            <w:r>
              <w:rPr>
                <w:rFonts w:ascii="Times New Roman" w:hAnsi="Times New Roman"/>
                <w:sz w:val="16"/>
                <w:szCs w:val="16"/>
                <w:lang w:val="en-US"/>
              </w:rPr>
              <w:t>UE_EIRP = 25 dBm</w:t>
            </w:r>
          </w:p>
          <w:p>
            <w:pPr>
              <w:pStyle w:val="94"/>
              <w:snapToGrid w:val="0"/>
              <w:spacing w:line="240" w:lineRule="auto"/>
              <w:rPr>
                <w:rFonts w:ascii="Times New Roman" w:hAnsi="Times New Roman"/>
                <w:sz w:val="16"/>
                <w:szCs w:val="16"/>
                <w:lang w:val="en-US"/>
              </w:rPr>
            </w:pPr>
          </w:p>
          <w:p>
            <w:pPr>
              <w:pStyle w:val="94"/>
              <w:snapToGrid w:val="0"/>
              <w:spacing w:line="240" w:lineRule="auto"/>
              <w:rPr>
                <w:rFonts w:ascii="Times New Roman" w:hAnsi="Times New Roman"/>
                <w:sz w:val="16"/>
                <w:szCs w:val="16"/>
                <w:lang w:val="en-US"/>
              </w:rPr>
            </w:pPr>
            <w:r>
              <w:rPr>
                <w:rFonts w:ascii="Times New Roman" w:hAnsi="Times New Roman"/>
                <w:sz w:val="16"/>
                <w:szCs w:val="16"/>
                <w:lang w:val="en-US"/>
              </w:rPr>
              <w:t>Maximum conduced power (prior to consideration of backoff):</w:t>
            </w:r>
          </w:p>
          <w:p>
            <w:pPr>
              <w:pStyle w:val="94"/>
              <w:snapToGrid w:val="0"/>
              <w:spacing w:line="240" w:lineRule="auto"/>
              <w:rPr>
                <w:rFonts w:ascii="Times New Roman" w:hAnsi="Times New Roman"/>
                <w:sz w:val="16"/>
                <w:szCs w:val="16"/>
                <w:lang w:val="en-US"/>
              </w:rPr>
            </w:pPr>
            <w:r>
              <w:rPr>
                <w:rFonts w:ascii="Times New Roman" w:hAnsi="Times New Roman"/>
                <w:sz w:val="16"/>
                <w:szCs w:val="16"/>
                <w:lang w:val="en-US"/>
              </w:rPr>
              <w:t>UE_P = 21 dBm</w:t>
            </w:r>
          </w:p>
          <w:p>
            <w:pPr>
              <w:pStyle w:val="94"/>
              <w:snapToGrid w:val="0"/>
              <w:spacing w:line="240" w:lineRule="auto"/>
              <w:rPr>
                <w:rFonts w:ascii="Times New Roman" w:hAnsi="Times New Roman"/>
                <w:sz w:val="16"/>
                <w:szCs w:val="16"/>
                <w:lang w:val="en-US"/>
              </w:rPr>
            </w:pPr>
            <w:r>
              <w:rPr>
                <w:rFonts w:ascii="Times New Roman" w:hAnsi="Times New Roman"/>
                <w:sz w:val="16"/>
                <w:szCs w:val="16"/>
                <w:lang w:val="en-US"/>
              </w:rPr>
              <w:t xml:space="preserve"> </w:t>
            </w:r>
          </w:p>
          <w:p>
            <w:pPr>
              <w:pStyle w:val="94"/>
              <w:snapToGrid w:val="0"/>
              <w:spacing w:line="240" w:lineRule="auto"/>
              <w:rPr>
                <w:rFonts w:ascii="Times New Roman" w:hAnsi="Times New Roman"/>
                <w:sz w:val="16"/>
                <w:szCs w:val="16"/>
                <w:lang w:val="en-US"/>
              </w:rPr>
            </w:pPr>
            <w:r>
              <w:rPr>
                <w:rFonts w:ascii="Times New Roman" w:hAnsi="Times New Roman"/>
                <w:sz w:val="16"/>
                <w:szCs w:val="16"/>
                <w:lang w:val="en-US"/>
              </w:rPr>
              <w:t>Optional:</w:t>
            </w:r>
          </w:p>
          <w:p>
            <w:pPr>
              <w:pStyle w:val="94"/>
              <w:snapToGrid w:val="0"/>
              <w:spacing w:line="240" w:lineRule="auto"/>
              <w:rPr>
                <w:rFonts w:ascii="Times New Roman" w:hAnsi="Times New Roman"/>
                <w:sz w:val="16"/>
                <w:szCs w:val="16"/>
                <w:lang w:val="en-US"/>
              </w:rPr>
            </w:pPr>
            <w:r>
              <w:rPr>
                <w:rFonts w:ascii="Times New Roman" w:hAnsi="Times New Roman"/>
                <w:sz w:val="16"/>
                <w:szCs w:val="16"/>
                <w:lang w:val="en-US"/>
              </w:rPr>
              <w:t>- UE_EIRP = 40dBm</w:t>
            </w:r>
          </w:p>
          <w:p>
            <w:pPr>
              <w:snapToGrid w:val="0"/>
              <w:spacing w:after="0" w:line="240" w:lineRule="auto"/>
              <w:rPr>
                <w:sz w:val="16"/>
                <w:szCs w:val="16"/>
                <w:lang w:val="en-US"/>
              </w:rPr>
            </w:pPr>
            <w:r>
              <w:rPr>
                <w:sz w:val="16"/>
                <w:szCs w:val="16"/>
                <w:lang w:val="en-US"/>
              </w:rPr>
              <w:t>- UE_P = 21 dBm</w:t>
            </w:r>
          </w:p>
          <w:p>
            <w:pPr>
              <w:snapToGrid w:val="0"/>
              <w:spacing w:after="0" w:line="240" w:lineRule="auto"/>
              <w:rPr>
                <w:sz w:val="16"/>
                <w:szCs w:val="16"/>
                <w:lang w:val="en-US"/>
              </w:rPr>
            </w:pPr>
          </w:p>
          <w:p>
            <w:pPr>
              <w:snapToGrid w:val="0"/>
              <w:spacing w:after="0" w:line="240" w:lineRule="auto"/>
              <w:rPr>
                <w:rFonts w:eastAsia="Batang"/>
                <w:sz w:val="16"/>
                <w:szCs w:val="16"/>
                <w:lang w:eastAsia="zh-CN"/>
              </w:rPr>
            </w:pPr>
            <w:r>
              <w:rPr>
                <w:sz w:val="16"/>
                <w:szCs w:val="16"/>
                <w:lang w:val="en-US"/>
              </w:rPr>
              <w:t>Note: Companies to report if other cases evaluated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Pmax (dBm)</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Maximum allowed conducted power considering combined limit per region (from Table 3).</w:t>
            </w:r>
          </w:p>
          <w:p>
            <w:pPr>
              <w:snapToGrid w:val="0"/>
              <w:spacing w:after="0" w:line="240" w:lineRule="auto"/>
              <w:rPr>
                <w:rFonts w:eastAsia="Batang"/>
                <w:sz w:val="16"/>
                <w:szCs w:val="16"/>
                <w:lang w:eastAsia="zh-CN"/>
              </w:rPr>
            </w:pPr>
          </w:p>
          <w:p>
            <w:pPr>
              <w:snapToGrid w:val="0"/>
              <w:spacing w:after="0" w:line="240" w:lineRule="auto"/>
              <w:rPr>
                <w:rFonts w:eastAsia="Batang"/>
                <w:sz w:val="16"/>
                <w:szCs w:val="16"/>
                <w:lang w:eastAsia="zh-CN"/>
              </w:rPr>
            </w:pPr>
            <w:r>
              <w:rPr>
                <w:rFonts w:eastAsia="Batang"/>
                <w:sz w:val="16"/>
                <w:szCs w:val="16"/>
                <w:lang w:eastAsia="zh-CN"/>
              </w:rPr>
              <w:t>Note:Companies should report if Pmax is considered per region or a combined limit is considered across multiple regions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Backoff (dB)</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Power backoff is equal to the cubic metric, CM</w:t>
            </w:r>
          </w:p>
          <w:p>
            <w:pPr>
              <w:snapToGrid w:val="0"/>
              <w:spacing w:after="0" w:line="240" w:lineRule="auto"/>
              <w:rPr>
                <w:rFonts w:eastAsia="Batang"/>
                <w:sz w:val="16"/>
                <w:szCs w:val="16"/>
                <w:lang w:eastAsia="zh-CN"/>
              </w:rPr>
            </w:pPr>
          </w:p>
          <w:p>
            <w:pPr>
              <w:snapToGrid w:val="0"/>
              <w:spacing w:after="0" w:line="240" w:lineRule="auto"/>
              <w:rPr>
                <w:rFonts w:eastAsia="Batang"/>
                <w:sz w:val="16"/>
                <w:szCs w:val="16"/>
                <w:lang w:eastAsia="zh-CN"/>
              </w:rPr>
            </w:pPr>
            <w:r>
              <w:rPr>
                <w:rFonts w:eastAsia="Batang"/>
                <w:sz w:val="16"/>
                <w:szCs w:val="16"/>
                <w:lang w:eastAsia="zh-CN"/>
              </w:rPr>
              <w:t>Note: If cubic metric is not used, information on the backoff metric used should be provided.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Transmit power, P_TX (dBm)</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Maximum allowed transmit power including UE power limitation and backoff</w:t>
            </w:r>
          </w:p>
          <w:p>
            <w:pPr>
              <w:snapToGrid w:val="0"/>
              <w:spacing w:after="0" w:line="240" w:lineRule="auto"/>
              <w:rPr>
                <w:rFonts w:eastAsia="Batang"/>
                <w:sz w:val="16"/>
                <w:szCs w:val="16"/>
                <w:lang w:eastAsia="zh-CN"/>
              </w:rPr>
            </w:pPr>
          </w:p>
          <w:p>
            <w:pPr>
              <w:snapToGrid w:val="0"/>
              <w:spacing w:after="0" w:line="240" w:lineRule="auto"/>
              <w:rPr>
                <w:rFonts w:eastAsia="Batang"/>
                <w:sz w:val="16"/>
                <w:szCs w:val="16"/>
                <w:lang w:eastAsia="zh-CN"/>
              </w:rPr>
            </w:pPr>
            <w:r>
              <w:rPr>
                <w:rFonts w:eastAsia="Batang"/>
                <w:sz w:val="16"/>
                <w:szCs w:val="16"/>
                <w:lang w:eastAsia="zh-CN"/>
              </w:rPr>
              <w:t>P_TX = min(Pmax, UE_EIRP – TxBF, UE_P – Backoff)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Noise power, P_N (dBm)</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val="en-US" w:eastAsia="zh-CN"/>
              </w:rPr>
            </w:pPr>
            <w:r>
              <w:rPr>
                <w:rFonts w:eastAsia="Batang"/>
                <w:sz w:val="16"/>
                <w:szCs w:val="16"/>
                <w:lang w:val="en-US" w:eastAsia="zh-CN"/>
              </w:rPr>
              <w:t>BS Noise Figure, NF = 7 dB</w:t>
            </w:r>
          </w:p>
          <w:p>
            <w:pPr>
              <w:snapToGrid w:val="0"/>
              <w:spacing w:after="0" w:line="240" w:lineRule="auto"/>
              <w:rPr>
                <w:rFonts w:eastAsia="Batang"/>
                <w:sz w:val="16"/>
                <w:szCs w:val="16"/>
                <w:lang w:val="en-US" w:eastAsia="zh-CN"/>
              </w:rPr>
            </w:pPr>
            <w:r>
              <w:rPr>
                <w:rFonts w:eastAsia="Batang"/>
                <w:sz w:val="16"/>
                <w:szCs w:val="16"/>
                <w:lang w:val="en-US" w:eastAsia="zh-CN"/>
              </w:rPr>
              <w:t>Noise PSD = -174 dBm/Hz</w:t>
            </w:r>
          </w:p>
          <w:p>
            <w:pPr>
              <w:snapToGrid w:val="0"/>
              <w:spacing w:after="0" w:line="240" w:lineRule="auto"/>
              <w:rPr>
                <w:rFonts w:eastAsia="Batang"/>
                <w:sz w:val="16"/>
                <w:szCs w:val="16"/>
                <w:lang w:val="en-US" w:eastAsia="zh-CN"/>
              </w:rPr>
            </w:pPr>
          </w:p>
          <w:p>
            <w:pPr>
              <w:snapToGrid w:val="0"/>
              <w:spacing w:after="0" w:line="240" w:lineRule="auto"/>
              <w:rPr>
                <w:rFonts w:eastAsia="Batang"/>
                <w:sz w:val="16"/>
                <w:szCs w:val="16"/>
                <w:lang w:val="en-US" w:eastAsia="zh-CN"/>
              </w:rPr>
            </w:pPr>
            <w:r>
              <w:rPr>
                <w:rFonts w:eastAsia="Batang"/>
                <w:sz w:val="16"/>
                <w:szCs w:val="16"/>
                <w:lang w:val="en-US" w:eastAsia="zh-CN"/>
              </w:rPr>
              <w:t>P_N = Noise PSD + 10*log10(BW * 1e6) + NF</w:t>
            </w:r>
          </w:p>
          <w:p>
            <w:pPr>
              <w:snapToGrid w:val="0"/>
              <w:spacing w:after="0" w:line="240" w:lineRule="auto"/>
              <w:rPr>
                <w:rFonts w:eastAsia="Batang"/>
                <w:sz w:val="16"/>
                <w:szCs w:val="16"/>
                <w:lang w:val="en-US" w:eastAsia="zh-CN"/>
              </w:rPr>
            </w:pPr>
          </w:p>
          <w:p>
            <w:pPr>
              <w:snapToGrid w:val="0"/>
              <w:spacing w:after="0" w:line="240" w:lineRule="auto"/>
              <w:rPr>
                <w:rFonts w:eastAsia="Batang"/>
                <w:sz w:val="16"/>
                <w:szCs w:val="16"/>
                <w:lang w:eastAsia="zh-CN"/>
              </w:rPr>
            </w:pPr>
            <w:r>
              <w:rPr>
                <w:rFonts w:eastAsia="Batang"/>
                <w:sz w:val="16"/>
                <w:szCs w:val="16"/>
                <w:lang w:val="en-US" w:eastAsia="zh-CN"/>
              </w:rPr>
              <w:t xml:space="preserve">Note: </w:t>
            </w:r>
            <w:r>
              <w:rPr>
                <w:sz w:val="16"/>
                <w:szCs w:val="16"/>
              </w:rPr>
              <w:t>BW is the PUCCH bandwidth per hop in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2"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Maximum Isotropic Loss, MIL (dB)</w:t>
            </w:r>
          </w:p>
        </w:tc>
        <w:tc>
          <w:tcPr>
            <w:tcW w:w="1533" w:type="dxa"/>
            <w:shd w:val="clear" w:color="auto" w:fill="auto"/>
          </w:tcPr>
          <w:p>
            <w:pPr>
              <w:snapToGrid w:val="0"/>
              <w:spacing w:after="0" w:line="240" w:lineRule="auto"/>
              <w:rPr>
                <w:rFonts w:eastAsia="Batang"/>
                <w:sz w:val="16"/>
                <w:szCs w:val="16"/>
                <w:lang w:eastAsia="zh-CN"/>
              </w:rPr>
            </w:pPr>
          </w:p>
        </w:tc>
        <w:tc>
          <w:tcPr>
            <w:tcW w:w="5677" w:type="dxa"/>
            <w:shd w:val="clear" w:color="auto" w:fill="auto"/>
          </w:tcPr>
          <w:p>
            <w:pPr>
              <w:snapToGrid w:val="0"/>
              <w:spacing w:after="0" w:line="240" w:lineRule="auto"/>
              <w:rPr>
                <w:rFonts w:eastAsia="Batang"/>
                <w:sz w:val="16"/>
                <w:szCs w:val="16"/>
                <w:lang w:eastAsia="zh-CN"/>
              </w:rPr>
            </w:pPr>
            <w:r>
              <w:rPr>
                <w:rFonts w:eastAsia="Batang"/>
                <w:sz w:val="16"/>
                <w:szCs w:val="16"/>
                <w:lang w:eastAsia="zh-CN"/>
              </w:rPr>
              <w:t>MIL = P_TX – P_N – Required SNR + TxBF + RxBF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62" w:type="dxa"/>
            <w:gridSpan w:val="3"/>
            <w:shd w:val="clear" w:color="auto" w:fill="auto"/>
          </w:tcPr>
          <w:p>
            <w:pPr>
              <w:snapToGrid w:val="0"/>
              <w:spacing w:after="0" w:line="240" w:lineRule="auto"/>
              <w:rPr>
                <w:rFonts w:eastAsia="Batang"/>
                <w:sz w:val="16"/>
                <w:szCs w:val="16"/>
                <w:lang w:val="en-US" w:eastAsia="zh-CN"/>
              </w:rPr>
            </w:pPr>
            <w:bookmarkStart w:id="4" w:name="_Hlk5184979"/>
            <w:r>
              <w:rPr>
                <w:rFonts w:eastAsia="Batang"/>
                <w:sz w:val="16"/>
                <w:szCs w:val="16"/>
                <w:lang w:val="en-US" w:eastAsia="zh-CN"/>
              </w:rPr>
              <w:t>Definition of detection criteria for PF0/1/4:</w:t>
            </w:r>
          </w:p>
          <w:p>
            <w:pPr>
              <w:snapToGrid w:val="0"/>
              <w:spacing w:after="0" w:line="240" w:lineRule="auto"/>
              <w:rPr>
                <w:rFonts w:eastAsia="Batang"/>
                <w:sz w:val="16"/>
                <w:szCs w:val="16"/>
                <w:lang w:val="en-US" w:eastAsia="zh-CN"/>
              </w:rPr>
            </w:pPr>
          </w:p>
          <w:p>
            <w:pPr>
              <w:snapToGrid w:val="0"/>
              <w:spacing w:after="0" w:line="240" w:lineRule="auto"/>
              <w:rPr>
                <w:rFonts w:eastAsia="Batang"/>
                <w:sz w:val="16"/>
                <w:szCs w:val="16"/>
                <w:lang w:eastAsia="zh-CN"/>
              </w:rPr>
            </w:pPr>
            <w:r>
              <w:rPr>
                <w:rFonts w:eastAsia="Batang"/>
                <w:sz w:val="16"/>
                <w:szCs w:val="16"/>
                <w:lang w:eastAsia="zh-CN"/>
              </w:rPr>
              <w:t xml:space="preserve">(1) For PF0/1 (payload of 1 or 2 bits) the detection criterion assumes that the </w:t>
            </w:r>
            <w:bookmarkStart w:id="5" w:name="_Hlk5108029"/>
            <w:r>
              <w:rPr>
                <w:rFonts w:eastAsia="Batang"/>
                <w:sz w:val="16"/>
                <w:szCs w:val="16"/>
                <w:lang w:eastAsia="zh-CN"/>
              </w:rPr>
              <w:t xml:space="preserve">PUCCH payload consists of randomly drawn HARQ ACK/NACK bits </w:t>
            </w:r>
            <w:bookmarkEnd w:id="5"/>
            <w:r>
              <w:rPr>
                <w:rFonts w:eastAsia="Batang"/>
                <w:sz w:val="16"/>
                <w:szCs w:val="16"/>
                <w:lang w:eastAsia="zh-CN"/>
              </w:rPr>
              <w:t>and the criterion is defined as the SNR for which P(ACK to Error) ≤ 1% AND P(NACK to ACK) ≤ 0.1%. Error is defined as NACK or DTX where the decision region for DTX is determined to ensure that the maximum P(DTX to ACK) ≤ 1% for the case when the input to the receiver is noise only.</w:t>
            </w:r>
          </w:p>
          <w:p>
            <w:pPr>
              <w:snapToGrid w:val="0"/>
              <w:spacing w:after="0" w:line="240" w:lineRule="auto"/>
              <w:rPr>
                <w:rFonts w:eastAsia="Batang"/>
                <w:sz w:val="16"/>
                <w:szCs w:val="16"/>
                <w:lang w:val="en-US" w:eastAsia="zh-CN"/>
              </w:rPr>
            </w:pPr>
          </w:p>
          <w:p>
            <w:pPr>
              <w:snapToGrid w:val="0"/>
              <w:spacing w:after="0" w:line="240" w:lineRule="auto"/>
              <w:rPr>
                <w:rFonts w:eastAsia="Batang"/>
                <w:sz w:val="16"/>
                <w:szCs w:val="16"/>
                <w:lang w:val="en-US" w:eastAsia="zh-CN"/>
              </w:rPr>
            </w:pPr>
            <w:r>
              <w:rPr>
                <w:rFonts w:eastAsia="Batang"/>
                <w:sz w:val="16"/>
                <w:szCs w:val="16"/>
                <w:lang w:eastAsia="zh-CN"/>
              </w:rPr>
              <w:t>(2) For PF4 (payload greater than 2 bits): the detection criterion is the UCI block error probability BLER ≤ 1% (as in TS38.104 Section 8.3.6)</w:t>
            </w:r>
            <w:bookmarkEnd w:id="4"/>
          </w:p>
        </w:tc>
      </w:tr>
    </w:tbl>
    <w:p>
      <w:pPr>
        <w:pStyle w:val="32"/>
      </w:pPr>
    </w:p>
    <w:p>
      <w:pPr>
        <w:pStyle w:val="99"/>
        <w:rPr>
          <w:rFonts w:ascii="Times New Roman" w:hAnsi="Times New Roman"/>
          <w:lang w:val="en-US"/>
        </w:rPr>
      </w:pPr>
      <w:r>
        <w:rPr>
          <w:rFonts w:ascii="Times New Roman" w:hAnsi="Times New Roman"/>
          <w:lang w:val="en-US"/>
        </w:rPr>
        <w:t xml:space="preserve">Table </w:t>
      </w:r>
      <w:r>
        <w:rPr>
          <w:rFonts w:hint="eastAsia" w:ascii="Times New Roman" w:hAnsi="Times New Roman" w:eastAsia="宋体"/>
          <w:lang w:val="en-US" w:eastAsia="zh-CN"/>
        </w:rPr>
        <w:t>A2-</w:t>
      </w:r>
      <w:r>
        <w:rPr>
          <w:rFonts w:ascii="Times New Roman" w:hAnsi="Times New Roman"/>
          <w:lang w:val="en-US"/>
        </w:rPr>
        <w:t>3: Regulatory Power Limits by Region</w:t>
      </w:r>
    </w:p>
    <w:tbl>
      <w:tblPr>
        <w:tblStyle w:val="61"/>
        <w:tblW w:w="9625" w:type="dxa"/>
        <w:tblInd w:w="0" w:type="dxa"/>
        <w:tblLayout w:type="fixed"/>
        <w:tblCellMar>
          <w:top w:w="0" w:type="dxa"/>
          <w:left w:w="108" w:type="dxa"/>
          <w:bottom w:w="0" w:type="dxa"/>
          <w:right w:w="108" w:type="dxa"/>
        </w:tblCellMar>
      </w:tblPr>
      <w:tblGrid>
        <w:gridCol w:w="1650"/>
        <w:gridCol w:w="7975"/>
      </w:tblGrid>
      <w:tr>
        <w:tblPrEx>
          <w:tblLayout w:type="fixed"/>
          <w:tblCellMar>
            <w:top w:w="0" w:type="dxa"/>
            <w:left w:w="108" w:type="dxa"/>
            <w:bottom w:w="0" w:type="dxa"/>
            <w:right w:w="108" w:type="dxa"/>
          </w:tblCellMar>
        </w:tblPrEx>
        <w:tc>
          <w:tcPr>
            <w:tcW w:w="1650" w:type="dxa"/>
            <w:tcBorders>
              <w:top w:val="single" w:color="auto" w:sz="4" w:space="0"/>
              <w:left w:val="single" w:color="auto" w:sz="4" w:space="0"/>
              <w:bottom w:val="single" w:color="auto" w:sz="4" w:space="0"/>
              <w:right w:val="single" w:color="auto" w:sz="4" w:space="0"/>
            </w:tcBorders>
            <w:shd w:val="clear" w:color="auto" w:fill="F1F1F1" w:themeFill="background1" w:themeFillShade="F2"/>
          </w:tcPr>
          <w:p>
            <w:pPr>
              <w:keepNext/>
              <w:keepLines/>
              <w:spacing w:before="80" w:after="80"/>
              <w:jc w:val="center"/>
              <w:rPr>
                <w:b/>
                <w:bCs/>
                <w:sz w:val="16"/>
                <w:szCs w:val="16"/>
              </w:rPr>
            </w:pPr>
            <w:r>
              <w:rPr>
                <w:rFonts w:eastAsia="Batang"/>
                <w:b/>
                <w:sz w:val="16"/>
                <w:szCs w:val="16"/>
                <w:lang w:eastAsia="zh-CN"/>
              </w:rPr>
              <w:t>Region</w:t>
            </w:r>
          </w:p>
        </w:tc>
        <w:tc>
          <w:tcPr>
            <w:tcW w:w="7975" w:type="dxa"/>
            <w:tcBorders>
              <w:top w:val="single" w:color="auto" w:sz="4" w:space="0"/>
              <w:left w:val="single" w:color="auto" w:sz="4" w:space="0"/>
              <w:bottom w:val="single" w:color="auto" w:sz="4" w:space="0"/>
              <w:right w:val="single" w:color="auto" w:sz="4" w:space="0"/>
            </w:tcBorders>
            <w:shd w:val="clear" w:color="auto" w:fill="F1F1F1" w:themeFill="background1" w:themeFillShade="F2"/>
          </w:tcPr>
          <w:p>
            <w:pPr>
              <w:keepNext/>
              <w:keepLines/>
              <w:spacing w:before="80" w:after="80"/>
              <w:jc w:val="center"/>
              <w:rPr>
                <w:b/>
                <w:bCs/>
                <w:sz w:val="16"/>
                <w:szCs w:val="16"/>
              </w:rPr>
            </w:pPr>
            <w:r>
              <w:rPr>
                <w:rFonts w:eastAsia="Batang"/>
                <w:b/>
                <w:sz w:val="16"/>
                <w:szCs w:val="16"/>
                <w:lang w:eastAsia="zh-CN"/>
              </w:rPr>
              <w:t>Maximum Conducted Power, Pmax (dBm)</w:t>
            </w:r>
          </w:p>
        </w:tc>
      </w:tr>
      <w:tr>
        <w:tblPrEx>
          <w:tblLayout w:type="fixed"/>
          <w:tblCellMar>
            <w:top w:w="0" w:type="dxa"/>
            <w:left w:w="108" w:type="dxa"/>
            <w:bottom w:w="0" w:type="dxa"/>
            <w:right w:w="108" w:type="dxa"/>
          </w:tblCellMar>
        </w:tblPrEx>
        <w:tc>
          <w:tcPr>
            <w:tcW w:w="1650" w:type="dxa"/>
            <w:tcBorders>
              <w:top w:val="single" w:color="auto" w:sz="4" w:space="0"/>
              <w:left w:val="single" w:color="auto" w:sz="4" w:space="0"/>
              <w:bottom w:val="single" w:color="auto" w:sz="4" w:space="0"/>
              <w:right w:val="single" w:color="auto" w:sz="4" w:space="0"/>
            </w:tcBorders>
          </w:tcPr>
          <w:p>
            <w:pPr>
              <w:keepNext/>
              <w:keepLines/>
              <w:spacing w:before="80" w:after="80"/>
              <w:rPr>
                <w:sz w:val="16"/>
                <w:szCs w:val="16"/>
              </w:rPr>
            </w:pPr>
            <w:r>
              <w:rPr>
                <w:sz w:val="16"/>
                <w:szCs w:val="16"/>
              </w:rPr>
              <w:t>US</w:t>
            </w:r>
          </w:p>
        </w:tc>
        <w:tc>
          <w:tcPr>
            <w:tcW w:w="7975" w:type="dxa"/>
            <w:tcBorders>
              <w:top w:val="single" w:color="auto" w:sz="4" w:space="0"/>
              <w:left w:val="single" w:color="auto" w:sz="4" w:space="0"/>
              <w:bottom w:val="single" w:color="auto" w:sz="4" w:space="0"/>
              <w:right w:val="single" w:color="auto" w:sz="4" w:space="0"/>
            </w:tcBorders>
          </w:tcPr>
          <w:p>
            <w:pPr>
              <w:keepNext/>
              <w:keepLines/>
              <w:spacing w:after="0"/>
              <w:rPr>
                <w:sz w:val="16"/>
                <w:szCs w:val="16"/>
              </w:rPr>
            </w:pPr>
            <w:r>
              <w:rPr>
                <w:sz w:val="16"/>
                <w:szCs w:val="16"/>
              </w:rPr>
              <w:t>Conducted power limit due to EIRP limit:</w:t>
            </w:r>
          </w:p>
          <w:p>
            <w:pPr>
              <w:keepNext/>
              <w:keepLines/>
              <w:spacing w:after="0"/>
              <w:rPr>
                <w:sz w:val="16"/>
                <w:szCs w:val="16"/>
              </w:rPr>
            </w:pPr>
            <w:r>
              <w:rPr>
                <w:sz w:val="16"/>
                <w:szCs w:val="16"/>
              </w:rPr>
              <w:t xml:space="preserve">     Pmax_EIRP = 40 dBm - TxBF</w:t>
            </w:r>
          </w:p>
          <w:p>
            <w:pPr>
              <w:keepNext/>
              <w:keepLines/>
              <w:spacing w:after="0"/>
              <w:rPr>
                <w:sz w:val="16"/>
                <w:szCs w:val="16"/>
              </w:rPr>
            </w:pPr>
          </w:p>
          <w:p>
            <w:pPr>
              <w:keepNext/>
              <w:keepLines/>
              <w:spacing w:after="0"/>
              <w:rPr>
                <w:sz w:val="16"/>
                <w:szCs w:val="16"/>
              </w:rPr>
            </w:pPr>
            <w:r>
              <w:rPr>
                <w:sz w:val="16"/>
                <w:szCs w:val="16"/>
              </w:rPr>
              <w:t>Conducted power limit as a function of PUCCH BW per hop:</w:t>
            </w:r>
          </w:p>
          <w:p>
            <w:pPr>
              <w:keepNext/>
              <w:keepLines/>
              <w:spacing w:after="0"/>
              <w:rPr>
                <w:sz w:val="16"/>
                <w:szCs w:val="16"/>
              </w:rPr>
            </w:pPr>
            <w:r>
              <w:rPr>
                <w:sz w:val="16"/>
                <w:szCs w:val="16"/>
              </w:rPr>
              <w:t xml:space="preserve">     Pmax_P = 27 dBm – max(0, 10*log10(100 / BW))</w:t>
            </w:r>
          </w:p>
          <w:p>
            <w:pPr>
              <w:keepNext/>
              <w:keepLines/>
              <w:spacing w:after="0"/>
              <w:rPr>
                <w:sz w:val="16"/>
                <w:szCs w:val="16"/>
              </w:rPr>
            </w:pPr>
          </w:p>
          <w:p>
            <w:pPr>
              <w:keepNext/>
              <w:keepLines/>
              <w:spacing w:after="0"/>
              <w:rPr>
                <w:sz w:val="16"/>
                <w:szCs w:val="16"/>
              </w:rPr>
            </w:pPr>
            <w:r>
              <w:rPr>
                <w:sz w:val="16"/>
                <w:szCs w:val="16"/>
                <w:u w:val="single"/>
              </w:rPr>
              <w:t>Combined limit</w:t>
            </w:r>
            <w:r>
              <w:rPr>
                <w:sz w:val="16"/>
                <w:szCs w:val="16"/>
              </w:rPr>
              <w:t>:</w:t>
            </w:r>
          </w:p>
          <w:p>
            <w:pPr>
              <w:keepNext/>
              <w:keepLines/>
              <w:spacing w:after="0"/>
              <w:rPr>
                <w:sz w:val="16"/>
                <w:szCs w:val="16"/>
              </w:rPr>
            </w:pPr>
            <w:r>
              <w:rPr>
                <w:sz w:val="16"/>
                <w:szCs w:val="16"/>
              </w:rPr>
              <w:t xml:space="preserve">     Pmax = min(Pmax_P, Pmax_EIRP)</w:t>
            </w:r>
          </w:p>
        </w:tc>
      </w:tr>
      <w:tr>
        <w:tblPrEx>
          <w:tblLayout w:type="fixed"/>
          <w:tblCellMar>
            <w:top w:w="0" w:type="dxa"/>
            <w:left w:w="108" w:type="dxa"/>
            <w:bottom w:w="0" w:type="dxa"/>
            <w:right w:w="108" w:type="dxa"/>
          </w:tblCellMar>
        </w:tblPrEx>
        <w:tc>
          <w:tcPr>
            <w:tcW w:w="1650" w:type="dxa"/>
            <w:tcBorders>
              <w:top w:val="single" w:color="auto" w:sz="4" w:space="0"/>
              <w:left w:val="single" w:color="auto" w:sz="4" w:space="0"/>
              <w:bottom w:val="single" w:color="auto" w:sz="4" w:space="0"/>
              <w:right w:val="single" w:color="auto" w:sz="4" w:space="0"/>
            </w:tcBorders>
          </w:tcPr>
          <w:p>
            <w:pPr>
              <w:keepNext/>
              <w:keepLines/>
              <w:spacing w:before="80" w:after="80"/>
              <w:rPr>
                <w:sz w:val="16"/>
                <w:szCs w:val="16"/>
                <w:lang w:val="sv-SE"/>
              </w:rPr>
            </w:pPr>
            <w:r>
              <w:rPr>
                <w:sz w:val="16"/>
                <w:szCs w:val="16"/>
              </w:rPr>
              <w:t>Europe</w:t>
            </w:r>
          </w:p>
        </w:tc>
        <w:tc>
          <w:tcPr>
            <w:tcW w:w="7975" w:type="dxa"/>
            <w:tcBorders>
              <w:top w:val="single" w:color="auto" w:sz="4" w:space="0"/>
              <w:left w:val="single" w:color="auto" w:sz="4" w:space="0"/>
              <w:bottom w:val="single" w:color="auto" w:sz="4" w:space="0"/>
              <w:right w:val="single" w:color="auto" w:sz="4" w:space="0"/>
            </w:tcBorders>
          </w:tcPr>
          <w:p>
            <w:pPr>
              <w:keepNext/>
              <w:keepLines/>
              <w:spacing w:after="0"/>
              <w:rPr>
                <w:sz w:val="16"/>
                <w:szCs w:val="16"/>
              </w:rPr>
            </w:pPr>
            <w:r>
              <w:rPr>
                <w:sz w:val="16"/>
                <w:szCs w:val="16"/>
              </w:rPr>
              <w:t>Conducted power limit due to EIRP limit:</w:t>
            </w:r>
          </w:p>
          <w:p>
            <w:pPr>
              <w:keepNext/>
              <w:keepLines/>
              <w:spacing w:after="0"/>
              <w:rPr>
                <w:sz w:val="16"/>
                <w:szCs w:val="16"/>
              </w:rPr>
            </w:pPr>
            <w:r>
              <w:rPr>
                <w:sz w:val="16"/>
                <w:szCs w:val="16"/>
              </w:rPr>
              <w:t xml:space="preserve">     Pmax_EIRP = 40 dBm – TxBF</w:t>
            </w:r>
          </w:p>
          <w:p>
            <w:pPr>
              <w:keepNext/>
              <w:keepLines/>
              <w:spacing w:after="0"/>
              <w:rPr>
                <w:sz w:val="16"/>
                <w:szCs w:val="16"/>
              </w:rPr>
            </w:pPr>
          </w:p>
          <w:p>
            <w:pPr>
              <w:keepNext/>
              <w:keepLines/>
              <w:spacing w:after="0"/>
              <w:rPr>
                <w:sz w:val="16"/>
                <w:szCs w:val="16"/>
              </w:rPr>
            </w:pPr>
            <w:r>
              <w:rPr>
                <w:sz w:val="16"/>
                <w:szCs w:val="16"/>
              </w:rPr>
              <w:t>Conducted power limit due to PSD limit (assumes N_RB contiguous RBs with all REs allocated per PRB):</w:t>
            </w:r>
          </w:p>
          <w:p>
            <w:pPr>
              <w:keepNext/>
              <w:keepLines/>
              <w:spacing w:after="0"/>
              <w:rPr>
                <w:sz w:val="16"/>
                <w:szCs w:val="16"/>
              </w:rPr>
            </w:pPr>
            <w:r>
              <w:rPr>
                <w:sz w:val="16"/>
                <w:szCs w:val="16"/>
              </w:rPr>
              <w:t xml:space="preserve">     Pmax_PSD = 23 dBm/MHz + max(0, 10*log10(BW)) - TxBF</w:t>
            </w:r>
          </w:p>
          <w:p>
            <w:pPr>
              <w:keepNext/>
              <w:keepLines/>
              <w:spacing w:after="0"/>
              <w:rPr>
                <w:sz w:val="16"/>
                <w:szCs w:val="16"/>
              </w:rPr>
            </w:pPr>
          </w:p>
          <w:p>
            <w:pPr>
              <w:keepNext/>
              <w:keepLines/>
              <w:spacing w:after="0"/>
              <w:rPr>
                <w:sz w:val="16"/>
                <w:szCs w:val="16"/>
              </w:rPr>
            </w:pPr>
            <w:r>
              <w:rPr>
                <w:sz w:val="16"/>
                <w:szCs w:val="16"/>
                <w:u w:val="single"/>
              </w:rPr>
              <w:t>Combined limit</w:t>
            </w:r>
            <w:r>
              <w:rPr>
                <w:sz w:val="16"/>
                <w:szCs w:val="16"/>
              </w:rPr>
              <w:t>:</w:t>
            </w:r>
          </w:p>
          <w:p>
            <w:pPr>
              <w:keepNext/>
              <w:keepLines/>
              <w:spacing w:after="0"/>
              <w:rPr>
                <w:sz w:val="16"/>
                <w:szCs w:val="16"/>
              </w:rPr>
            </w:pPr>
            <w:r>
              <w:rPr>
                <w:sz w:val="16"/>
                <w:szCs w:val="16"/>
              </w:rPr>
              <w:t xml:space="preserve">     Pmax = min(Pmax_PSD, Pmax_EIRP)</w:t>
            </w:r>
          </w:p>
        </w:tc>
      </w:tr>
      <w:tr>
        <w:tblPrEx>
          <w:tblLayout w:type="fixed"/>
          <w:tblCellMar>
            <w:top w:w="0" w:type="dxa"/>
            <w:left w:w="108" w:type="dxa"/>
            <w:bottom w:w="0" w:type="dxa"/>
            <w:right w:w="108" w:type="dxa"/>
          </w:tblCellMar>
        </w:tblPrEx>
        <w:tc>
          <w:tcPr>
            <w:tcW w:w="1650" w:type="dxa"/>
            <w:tcBorders>
              <w:top w:val="single" w:color="auto" w:sz="4" w:space="0"/>
              <w:left w:val="single" w:color="auto" w:sz="4" w:space="0"/>
              <w:bottom w:val="single" w:color="auto" w:sz="4" w:space="0"/>
              <w:right w:val="single" w:color="auto" w:sz="4" w:space="0"/>
            </w:tcBorders>
          </w:tcPr>
          <w:p>
            <w:pPr>
              <w:keepNext/>
              <w:keepLines/>
              <w:spacing w:before="80" w:after="80"/>
              <w:rPr>
                <w:sz w:val="16"/>
                <w:szCs w:val="16"/>
              </w:rPr>
            </w:pPr>
            <w:r>
              <w:rPr>
                <w:color w:val="FF0000"/>
                <w:sz w:val="16"/>
                <w:szCs w:val="16"/>
              </w:rPr>
              <w:t>South Korea</w:t>
            </w:r>
          </w:p>
        </w:tc>
        <w:tc>
          <w:tcPr>
            <w:tcW w:w="7975" w:type="dxa"/>
            <w:tcBorders>
              <w:top w:val="single" w:color="auto" w:sz="4" w:space="0"/>
              <w:left w:val="single" w:color="auto" w:sz="4" w:space="0"/>
              <w:bottom w:val="single" w:color="auto" w:sz="4" w:space="0"/>
              <w:right w:val="single" w:color="auto" w:sz="4" w:space="0"/>
            </w:tcBorders>
          </w:tcPr>
          <w:p>
            <w:pPr>
              <w:keepNext/>
              <w:keepLines/>
              <w:spacing w:after="0"/>
              <w:rPr>
                <w:color w:val="FF0000"/>
                <w:sz w:val="16"/>
                <w:szCs w:val="16"/>
              </w:rPr>
            </w:pPr>
            <w:r>
              <w:rPr>
                <w:color w:val="FF0000"/>
                <w:sz w:val="16"/>
                <w:szCs w:val="16"/>
              </w:rPr>
              <w:t>Conducted power limit due to EIRP limit:</w:t>
            </w:r>
          </w:p>
          <w:p>
            <w:pPr>
              <w:keepNext/>
              <w:keepLines/>
              <w:spacing w:after="0"/>
              <w:rPr>
                <w:color w:val="FF0000"/>
                <w:sz w:val="16"/>
                <w:szCs w:val="16"/>
              </w:rPr>
            </w:pPr>
            <w:r>
              <w:rPr>
                <w:color w:val="FF0000"/>
                <w:sz w:val="16"/>
                <w:szCs w:val="16"/>
              </w:rPr>
              <w:t xml:space="preserve">     Pmax_EIRP = 43 dBm – TxBF   when an equipment is &gt;=300m from an astronomical antenna</w:t>
            </w:r>
          </w:p>
          <w:p>
            <w:pPr>
              <w:keepNext/>
              <w:keepLines/>
              <w:spacing w:after="0"/>
              <w:rPr>
                <w:color w:val="FF0000"/>
                <w:sz w:val="16"/>
                <w:szCs w:val="16"/>
              </w:rPr>
            </w:pPr>
            <w:r>
              <w:rPr>
                <w:color w:val="FF0000"/>
                <w:sz w:val="16"/>
                <w:szCs w:val="16"/>
              </w:rPr>
              <w:t xml:space="preserve">     Pmax_EIRP = </w:t>
            </w:r>
            <w:r>
              <w:rPr>
                <w:rFonts w:hint="eastAsia" w:eastAsia="宋体"/>
                <w:color w:val="FF0000"/>
                <w:sz w:val="16"/>
                <w:szCs w:val="16"/>
                <w:lang w:val="en-US" w:eastAsia="zh-CN"/>
              </w:rPr>
              <w:t>27</w:t>
            </w:r>
            <w:r>
              <w:rPr>
                <w:color w:val="FF0000"/>
                <w:sz w:val="16"/>
                <w:szCs w:val="16"/>
              </w:rPr>
              <w:t xml:space="preserve"> dBm – TxBF   when an equipment is &lt;300m from an astronomical antenna</w:t>
            </w:r>
          </w:p>
          <w:p>
            <w:pPr>
              <w:keepNext/>
              <w:keepLines/>
              <w:spacing w:after="0"/>
              <w:rPr>
                <w:color w:val="FF0000"/>
                <w:sz w:val="16"/>
                <w:szCs w:val="16"/>
              </w:rPr>
            </w:pPr>
          </w:p>
          <w:p>
            <w:pPr>
              <w:keepNext/>
              <w:keepLines/>
              <w:spacing w:after="0"/>
              <w:rPr>
                <w:color w:val="FF0000"/>
                <w:sz w:val="16"/>
                <w:szCs w:val="16"/>
              </w:rPr>
            </w:pPr>
            <w:r>
              <w:rPr>
                <w:color w:val="FF0000"/>
                <w:sz w:val="16"/>
                <w:szCs w:val="16"/>
              </w:rPr>
              <w:t>Conducted power limit due to PSD limit (assumes N_RB contiguous RBs with all REs allocated per PRB):</w:t>
            </w:r>
          </w:p>
          <w:p>
            <w:pPr>
              <w:keepNext/>
              <w:keepLines/>
              <w:spacing w:after="0"/>
              <w:rPr>
                <w:color w:val="FF0000"/>
                <w:sz w:val="16"/>
                <w:szCs w:val="16"/>
              </w:rPr>
            </w:pPr>
            <w:r>
              <w:rPr>
                <w:color w:val="FF0000"/>
                <w:sz w:val="16"/>
                <w:szCs w:val="16"/>
              </w:rPr>
              <w:t xml:space="preserve">     Pmax_PSD = 13 dBm/MHz + max(0, 10*log10(BW)) - TxBF</w:t>
            </w:r>
          </w:p>
          <w:p>
            <w:pPr>
              <w:keepNext/>
              <w:keepLines/>
              <w:spacing w:after="0"/>
              <w:rPr>
                <w:color w:val="FF0000"/>
                <w:sz w:val="16"/>
                <w:szCs w:val="16"/>
              </w:rPr>
            </w:pPr>
          </w:p>
          <w:p>
            <w:pPr>
              <w:keepNext/>
              <w:keepLines/>
              <w:spacing w:after="0"/>
              <w:rPr>
                <w:color w:val="FF0000"/>
                <w:sz w:val="16"/>
                <w:szCs w:val="16"/>
              </w:rPr>
            </w:pPr>
            <w:r>
              <w:rPr>
                <w:color w:val="FF0000"/>
                <w:sz w:val="16"/>
                <w:szCs w:val="16"/>
                <w:u w:val="single"/>
              </w:rPr>
              <w:t>Combined limit</w:t>
            </w:r>
            <w:r>
              <w:rPr>
                <w:color w:val="FF0000"/>
                <w:sz w:val="16"/>
                <w:szCs w:val="16"/>
              </w:rPr>
              <w:t>:</w:t>
            </w:r>
          </w:p>
          <w:p>
            <w:pPr>
              <w:keepNext/>
              <w:keepLines/>
              <w:spacing w:after="0"/>
              <w:rPr>
                <w:sz w:val="16"/>
                <w:szCs w:val="16"/>
              </w:rPr>
            </w:pPr>
            <w:r>
              <w:rPr>
                <w:color w:val="FF0000"/>
                <w:sz w:val="16"/>
                <w:szCs w:val="16"/>
              </w:rPr>
              <w:t xml:space="preserve">     Pmax = min(Pmax_PSD, Pmax_EIRP)</w:t>
            </w:r>
          </w:p>
        </w:tc>
      </w:tr>
      <w:tr>
        <w:tblPrEx>
          <w:tblLayout w:type="fixed"/>
          <w:tblCellMar>
            <w:top w:w="0" w:type="dxa"/>
            <w:left w:w="108" w:type="dxa"/>
            <w:bottom w:w="0" w:type="dxa"/>
            <w:right w:w="108" w:type="dxa"/>
          </w:tblCellMar>
        </w:tblPrEx>
        <w:tc>
          <w:tcPr>
            <w:tcW w:w="1650" w:type="dxa"/>
            <w:tcBorders>
              <w:top w:val="single" w:color="auto" w:sz="4" w:space="0"/>
              <w:left w:val="single" w:color="auto" w:sz="4" w:space="0"/>
              <w:bottom w:val="single" w:color="auto" w:sz="4" w:space="0"/>
              <w:right w:val="single" w:color="auto" w:sz="4" w:space="0"/>
            </w:tcBorders>
          </w:tcPr>
          <w:p>
            <w:pPr>
              <w:keepNext/>
              <w:keepLines/>
              <w:spacing w:before="80" w:after="80"/>
              <w:rPr>
                <w:sz w:val="16"/>
                <w:szCs w:val="16"/>
              </w:rPr>
            </w:pPr>
            <w:r>
              <w:rPr>
                <w:sz w:val="16"/>
                <w:szCs w:val="16"/>
              </w:rPr>
              <w:t>Other regions</w:t>
            </w:r>
          </w:p>
        </w:tc>
        <w:tc>
          <w:tcPr>
            <w:tcW w:w="7975" w:type="dxa"/>
            <w:tcBorders>
              <w:top w:val="single" w:color="auto" w:sz="4" w:space="0"/>
              <w:left w:val="single" w:color="auto" w:sz="4" w:space="0"/>
              <w:bottom w:val="single" w:color="auto" w:sz="4" w:space="0"/>
              <w:right w:val="single" w:color="auto" w:sz="4" w:space="0"/>
            </w:tcBorders>
          </w:tcPr>
          <w:p>
            <w:pPr>
              <w:keepNext/>
              <w:keepLines/>
              <w:spacing w:after="0"/>
              <w:rPr>
                <w:sz w:val="16"/>
                <w:szCs w:val="16"/>
              </w:rPr>
            </w:pPr>
            <w:r>
              <w:rPr>
                <w:sz w:val="16"/>
                <w:szCs w:val="16"/>
              </w:rPr>
              <w:t>…</w:t>
            </w:r>
          </w:p>
        </w:tc>
      </w:tr>
      <w:tr>
        <w:tblPrEx>
          <w:tblLayout w:type="fixed"/>
          <w:tblCellMar>
            <w:top w:w="0" w:type="dxa"/>
            <w:left w:w="108" w:type="dxa"/>
            <w:bottom w:w="0" w:type="dxa"/>
            <w:right w:w="108" w:type="dxa"/>
          </w:tblCellMar>
        </w:tblPrEx>
        <w:tc>
          <w:tcPr>
            <w:tcW w:w="9625" w:type="dxa"/>
            <w:gridSpan w:val="2"/>
            <w:tcBorders>
              <w:top w:val="single" w:color="auto" w:sz="4" w:space="0"/>
              <w:left w:val="single" w:color="auto" w:sz="4" w:space="0"/>
              <w:bottom w:val="single" w:color="auto" w:sz="4" w:space="0"/>
              <w:right w:val="single" w:color="auto" w:sz="4" w:space="0"/>
            </w:tcBorders>
          </w:tcPr>
          <w:p>
            <w:pPr>
              <w:keepNext/>
              <w:keepLines/>
              <w:spacing w:before="80" w:after="80"/>
              <w:rPr>
                <w:sz w:val="16"/>
                <w:szCs w:val="16"/>
              </w:rPr>
            </w:pPr>
            <w:r>
              <w:rPr>
                <w:sz w:val="16"/>
                <w:szCs w:val="16"/>
              </w:rPr>
              <w:t>Note: BW is the PUCCH bandwidth per hop in MHz</w:t>
            </w:r>
          </w:p>
        </w:tc>
      </w:tr>
    </w:tbl>
    <w:p>
      <w:pPr>
        <w:widowControl w:val="0"/>
        <w:numPr>
          <w:ilvl w:val="255"/>
          <w:numId w:val="0"/>
        </w:numPr>
        <w:autoSpaceDE w:val="0"/>
        <w:autoSpaceDN w:val="0"/>
        <w:adjustRightInd w:val="0"/>
        <w:spacing w:after="93" w:afterLines="30" w:line="240" w:lineRule="auto"/>
        <w:jc w:val="both"/>
        <w:rPr>
          <w:lang w:val="en-US" w:eastAsia="zh-CN"/>
        </w:rPr>
      </w:pPr>
    </w:p>
    <w:p/>
    <w:p/>
    <w:p>
      <w:pPr>
        <w:pStyle w:val="3"/>
        <w:bidi w:val="0"/>
        <w:rPr>
          <w:rFonts w:hint="default"/>
          <w:lang w:val="en-US" w:eastAsia="zh-CN"/>
        </w:rPr>
      </w:pPr>
      <w:r>
        <w:rPr>
          <w:rFonts w:hint="eastAsia"/>
          <w:lang w:val="en-US" w:eastAsia="zh-CN"/>
        </w:rPr>
        <w:t>A3. System level simulation assumption</w:t>
      </w:r>
    </w:p>
    <w:p>
      <w:pPr>
        <w:widowControl w:val="0"/>
        <w:numPr>
          <w:ilvl w:val="255"/>
          <w:numId w:val="0"/>
        </w:numPr>
        <w:autoSpaceDE w:val="0"/>
        <w:autoSpaceDN w:val="0"/>
        <w:adjustRightInd w:val="0"/>
        <w:spacing w:after="180" w:afterLines="0" w:line="240" w:lineRule="auto"/>
        <w:jc w:val="center"/>
        <w:rPr>
          <w:rFonts w:hint="eastAsia"/>
          <w:b/>
          <w:bCs/>
          <w:sz w:val="21"/>
          <w:szCs w:val="21"/>
          <w:lang w:val="en-US" w:eastAsia="zh-CN"/>
        </w:rPr>
      </w:pPr>
      <w:r>
        <w:rPr>
          <w:rFonts w:hint="eastAsia"/>
          <w:b/>
          <w:bCs/>
          <w:sz w:val="21"/>
          <w:szCs w:val="21"/>
          <w:lang w:val="en-US" w:eastAsia="zh-CN"/>
        </w:rPr>
        <w:t>Table A3-1. Evaluation assumptions in SLS</w:t>
      </w:r>
    </w:p>
    <w:tbl>
      <w:tblPr>
        <w:tblStyle w:val="61"/>
        <w:tblW w:w="12448" w:type="dxa"/>
        <w:tblInd w:w="0" w:type="dxa"/>
        <w:tblLayout w:type="fixed"/>
        <w:tblCellMar>
          <w:top w:w="0" w:type="dxa"/>
          <w:left w:w="0" w:type="dxa"/>
          <w:bottom w:w="0" w:type="dxa"/>
          <w:right w:w="0" w:type="dxa"/>
        </w:tblCellMar>
      </w:tblPr>
      <w:tblGrid>
        <w:gridCol w:w="2203"/>
        <w:gridCol w:w="7001"/>
        <w:gridCol w:w="10"/>
        <w:gridCol w:w="3234"/>
      </w:tblGrid>
      <w:tr>
        <w:tblPrEx>
          <w:tblLayout w:type="fixed"/>
          <w:tblCellMar>
            <w:top w:w="0" w:type="dxa"/>
            <w:left w:w="0" w:type="dxa"/>
            <w:bottom w:w="0" w:type="dxa"/>
            <w:right w:w="0" w:type="dxa"/>
          </w:tblCellMar>
        </w:tblPrEx>
        <w:trPr>
          <w:gridAfter w:val="2"/>
          <w:wAfter w:w="324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b/>
                <w:bCs/>
                <w:szCs w:val="20"/>
              </w:rPr>
            </w:pPr>
            <w:r>
              <w:rPr>
                <w:rFonts w:ascii="Times New Roman" w:hAnsi="Times New Roman"/>
                <w:b/>
                <w:bCs/>
                <w:szCs w:val="20"/>
              </w:rPr>
              <w:t>Parameters</w:t>
            </w:r>
          </w:p>
        </w:tc>
        <w:tc>
          <w:tcPr>
            <w:tcW w:w="7001"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b/>
                <w:bCs/>
                <w:szCs w:val="20"/>
                <w:lang w:eastAsia="zh-CN"/>
              </w:rPr>
            </w:pPr>
            <w:r>
              <w:rPr>
                <w:rFonts w:ascii="Times New Roman" w:hAnsi="Times New Roman"/>
                <w:b/>
                <w:bCs/>
                <w:szCs w:val="20"/>
                <w:lang w:eastAsia="zh-CN"/>
              </w:rPr>
              <w:t>Assumptions</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bCs w:val="0"/>
                <w:szCs w:val="20"/>
                <w:lang w:eastAsia="zh-CN"/>
              </w:rPr>
            </w:pPr>
            <w:r>
              <w:rPr>
                <w:rFonts w:ascii="Times New Roman" w:hAnsi="Times New Roman"/>
                <w:bCs w:val="0"/>
                <w:szCs w:val="20"/>
                <w:lang w:eastAsia="zh-CN"/>
              </w:rPr>
              <w:t>Layout</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top"/>
          </w:tcPr>
          <w:p>
            <w:pPr>
              <w:keepNext/>
              <w:keepLines/>
              <w:overflowPunct w:val="0"/>
              <w:autoSpaceDE w:val="0"/>
              <w:autoSpaceDN w:val="0"/>
              <w:adjustRightInd w:val="0"/>
              <w:spacing w:after="0" w:line="260" w:lineRule="auto"/>
              <w:jc w:val="left"/>
              <w:textAlignment w:val="baseline"/>
              <w:rPr>
                <w:rFonts w:ascii="Times New Roman" w:hAnsi="Times New Roman"/>
                <w:bCs/>
                <w:szCs w:val="20"/>
                <w:lang w:eastAsia="zh-CN"/>
              </w:rPr>
            </w:pPr>
            <w:r>
              <w:rPr>
                <w:rFonts w:ascii="Times New Roman" w:hAnsi="Times New Roman"/>
                <w:bCs/>
                <w:szCs w:val="20"/>
                <w:lang w:eastAsia="zh-CN"/>
              </w:rPr>
              <w:t>24 BSs are deployed in 120m * 50m box.</w:t>
            </w:r>
          </w:p>
          <w:p>
            <w:pPr>
              <w:spacing w:after="0" w:line="260" w:lineRule="auto"/>
              <w:jc w:val="left"/>
              <w:rPr>
                <w:rFonts w:ascii="Times New Roman" w:hAnsi="Times New Roman" w:eastAsia="等线"/>
                <w:bCs/>
                <w:szCs w:val="20"/>
                <w:lang w:eastAsia="zh-CN"/>
              </w:rPr>
            </w:pPr>
            <w:r>
              <w:rPr>
                <w:rFonts w:ascii="Times New Roman" w:hAnsi="Times New Roman" w:eastAsia="等线"/>
                <w:bCs/>
                <w:szCs w:val="20"/>
                <w:lang w:eastAsia="zh-CN"/>
              </w:rPr>
              <w:t>2 operators deploy 2 BSs randomly in each 10m * 10m box.</w:t>
            </w:r>
          </w:p>
          <w:p>
            <w:pPr>
              <w:spacing w:after="0" w:line="260" w:lineRule="auto"/>
              <w:jc w:val="center"/>
              <w:rPr>
                <w:rFonts w:ascii="Times New Roman" w:hAnsi="Times New Roman" w:eastAsia="等线"/>
                <w:szCs w:val="20"/>
                <w:lang w:eastAsia="zh-CN"/>
              </w:rPr>
            </w:pPr>
            <w:r>
              <w:rPr>
                <w:rFonts w:ascii="Times New Roman" w:hAnsi="Times New Roman" w:eastAsia="等线"/>
                <w:szCs w:val="20"/>
                <w:lang w:eastAsia="zh-CN"/>
              </w:rPr>
              <w:drawing>
                <wp:inline distT="0" distB="0" distL="114300" distR="114300">
                  <wp:extent cx="2665730" cy="1217295"/>
                  <wp:effectExtent l="0" t="0" r="127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40"/>
                          <a:stretch>
                            <a:fillRect/>
                          </a:stretch>
                        </pic:blipFill>
                        <pic:spPr>
                          <a:xfrm>
                            <a:off x="0" y="0"/>
                            <a:ext cx="2665730" cy="1217295"/>
                          </a:xfrm>
                          <a:prstGeom prst="rect">
                            <a:avLst/>
                          </a:prstGeom>
                          <a:noFill/>
                          <a:ln w="9525">
                            <a:noFill/>
                          </a:ln>
                        </pic:spPr>
                      </pic:pic>
                    </a:graphicData>
                  </a:graphic>
                </wp:inline>
              </w:drawing>
            </w:r>
          </w:p>
          <w:p>
            <w:pPr>
              <w:spacing w:after="0" w:line="260" w:lineRule="auto"/>
              <w:jc w:val="left"/>
              <w:rPr>
                <w:rFonts w:ascii="Times New Roman" w:hAnsi="Times New Roman" w:eastAsia="等线"/>
                <w:b/>
                <w:bCs/>
                <w:szCs w:val="20"/>
                <w:lang w:eastAsia="zh-CN"/>
              </w:rPr>
            </w:pPr>
            <w:r>
              <w:rPr>
                <w:rFonts w:hint="eastAsia" w:ascii="Times New Roman" w:hAnsi="Times New Roman"/>
                <w:bCs/>
                <w:color w:val="FF0000"/>
                <w:szCs w:val="20"/>
                <w:lang w:eastAsia="zh-CN"/>
              </w:rPr>
              <w:t xml:space="preserve"> </w:t>
            </w:r>
            <w:r>
              <w:rPr>
                <w:rFonts w:hint="eastAsia"/>
                <w:bCs/>
                <w:color w:val="FF0000"/>
                <w:szCs w:val="20"/>
                <w:lang w:val="en-US" w:eastAsia="zh-CN"/>
              </w:rPr>
              <w:t>T</w:t>
            </w:r>
            <w:r>
              <w:rPr>
                <w:rFonts w:hint="eastAsia" w:ascii="Times New Roman" w:hAnsi="Times New Roman"/>
                <w:bCs/>
                <w:color w:val="FF0000"/>
                <w:szCs w:val="20"/>
                <w:lang w:eastAsia="zh-CN"/>
              </w:rPr>
              <w:t>he minimum distance between BS of different operators is 2 m</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bCs w:val="0"/>
                <w:szCs w:val="20"/>
                <w:lang w:eastAsia="zh-CN"/>
              </w:rPr>
            </w:pPr>
            <w:r>
              <w:rPr>
                <w:rFonts w:ascii="Times New Roman" w:hAnsi="Times New Roman"/>
                <w:bCs w:val="0"/>
                <w:szCs w:val="20"/>
                <w:lang w:eastAsia="zh-CN"/>
              </w:rPr>
              <w:t>UE distribution</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bCs w:val="0"/>
                <w:szCs w:val="20"/>
                <w:lang w:eastAsia="zh-CN"/>
              </w:rPr>
            </w:pPr>
            <w:r>
              <w:rPr>
                <w:rFonts w:ascii="Times New Roman" w:hAnsi="Times New Roman"/>
                <w:bCs w:val="0"/>
                <w:szCs w:val="20"/>
                <w:lang w:eastAsia="zh-CN"/>
              </w:rPr>
              <w:t>100% Indoor</w:t>
            </w:r>
          </w:p>
          <w:p>
            <w:pPr>
              <w:spacing w:after="0" w:line="260" w:lineRule="auto"/>
              <w:jc w:val="center"/>
              <w:rPr>
                <w:rFonts w:ascii="Times New Roman" w:hAnsi="Times New Roman"/>
                <w:bCs w:val="0"/>
                <w:szCs w:val="20"/>
                <w:lang w:eastAsia="zh-CN"/>
              </w:rPr>
            </w:pPr>
            <w:r>
              <w:rPr>
                <w:rFonts w:hint="default"/>
                <w:bCs w:val="0"/>
                <w:szCs w:val="20"/>
                <w:highlight w:val="none"/>
                <w:lang w:val="en-GB" w:eastAsia="zh-CN"/>
              </w:rPr>
              <w:t>5</w:t>
            </w:r>
            <w:r>
              <w:rPr>
                <w:rFonts w:ascii="Times New Roman" w:hAnsi="Times New Roman"/>
                <w:bCs w:val="0"/>
                <w:szCs w:val="20"/>
                <w:highlight w:val="none"/>
                <w:lang w:eastAsia="zh-CN"/>
              </w:rPr>
              <w:t xml:space="preserve"> users per BS, 1</w:t>
            </w:r>
            <w:r>
              <w:rPr>
                <w:rFonts w:ascii="Times New Roman" w:hAnsi="Times New Roman"/>
                <w:bCs w:val="0"/>
                <w:szCs w:val="20"/>
                <w:lang w:eastAsia="zh-CN"/>
              </w:rPr>
              <w:t>20 UEs are randomly dropped in 120m * 50m box and each UE is associated to one operator first and then connected to the nearest gNB belonging to that operator.</w:t>
            </w:r>
          </w:p>
        </w:tc>
      </w:tr>
      <w:tr>
        <w:tblPrEx>
          <w:tblLayout w:type="fixed"/>
          <w:tblCellMar>
            <w:top w:w="0" w:type="dxa"/>
            <w:left w:w="0" w:type="dxa"/>
            <w:bottom w:w="0" w:type="dxa"/>
            <w:right w:w="0" w:type="dxa"/>
          </w:tblCellMar>
        </w:tblPrEx>
        <w:trPr>
          <w:gridAfter w:val="1"/>
          <w:wAfter w:w="3234" w:type="dxa"/>
          <w:trHeight w:val="298" w:hRule="exac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bCs w:val="0"/>
                <w:szCs w:val="20"/>
                <w:lang w:eastAsia="zh-CN"/>
              </w:rPr>
            </w:pPr>
            <w:r>
              <w:rPr>
                <w:rFonts w:ascii="Times New Roman" w:hAnsi="Times New Roman"/>
                <w:bCs w:val="0"/>
                <w:szCs w:val="20"/>
                <w:lang w:eastAsia="zh-CN"/>
              </w:rPr>
              <w:t xml:space="preserve">UE </w:t>
            </w:r>
            <w:r>
              <w:rPr>
                <w:rFonts w:hint="default"/>
                <w:bCs w:val="0"/>
                <w:szCs w:val="20"/>
                <w:lang w:val="en-US" w:eastAsia="zh-CN"/>
              </w:rPr>
              <w:t>mobility</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hint="default"/>
                <w:bCs w:val="0"/>
                <w:szCs w:val="20"/>
                <w:highlight w:val="none"/>
                <w:lang w:val="en-GB" w:eastAsia="zh-CN"/>
              </w:rPr>
            </w:pPr>
            <w:r>
              <w:rPr>
                <w:rFonts w:ascii="Times New Roman" w:hAnsi="Times New Roman"/>
                <w:bCs w:val="0"/>
                <w:szCs w:val="20"/>
                <w:lang w:eastAsia="zh-CN"/>
              </w:rPr>
              <w:t>3 km/hr</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bCs w:val="0"/>
                <w:szCs w:val="20"/>
                <w:lang w:eastAsia="zh-CN"/>
              </w:rPr>
            </w:pPr>
            <w:r>
              <w:rPr>
                <w:rFonts w:ascii="Times New Roman" w:hAnsi="Times New Roman"/>
                <w:bCs w:val="0"/>
                <w:szCs w:val="20"/>
                <w:lang w:eastAsia="zh-CN"/>
              </w:rPr>
              <w:t>Carrier frequency</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bCs w:val="0"/>
                <w:szCs w:val="20"/>
                <w:lang w:eastAsia="zh-CN"/>
              </w:rPr>
            </w:pPr>
            <w:r>
              <w:rPr>
                <w:rFonts w:ascii="Times New Roman" w:hAnsi="Times New Roman"/>
                <w:bCs w:val="0"/>
                <w:szCs w:val="20"/>
                <w:lang w:eastAsia="zh-CN"/>
              </w:rPr>
              <w:t>60 GHz</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bCs w:val="0"/>
                <w:szCs w:val="20"/>
                <w:lang w:eastAsia="zh-CN"/>
              </w:rPr>
            </w:pPr>
            <w:r>
              <w:rPr>
                <w:rFonts w:ascii="Times New Roman" w:hAnsi="Times New Roman"/>
                <w:bCs w:val="0"/>
                <w:szCs w:val="20"/>
                <w:lang w:eastAsia="zh-CN"/>
              </w:rPr>
              <w:t>Carrier bandwidth</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bCs w:val="0"/>
                <w:szCs w:val="20"/>
                <w:lang w:eastAsia="zh-CN"/>
              </w:rPr>
            </w:pPr>
            <w:r>
              <w:rPr>
                <w:rFonts w:hint="default"/>
                <w:bCs w:val="0"/>
                <w:szCs w:val="20"/>
                <w:lang w:val="en-GB" w:eastAsia="zh-CN"/>
              </w:rPr>
              <w:t>20</w:t>
            </w:r>
            <w:r>
              <w:rPr>
                <w:rFonts w:ascii="Times New Roman" w:hAnsi="Times New Roman"/>
                <w:bCs w:val="0"/>
                <w:szCs w:val="20"/>
                <w:lang w:eastAsia="zh-CN"/>
              </w:rPr>
              <w:t xml:space="preserve">00 MHz </w:t>
            </w:r>
            <w:r>
              <w:rPr>
                <w:rFonts w:hint="default"/>
                <w:bCs w:val="0"/>
                <w:szCs w:val="20"/>
                <w:lang w:val="en-GB" w:eastAsia="zh-CN"/>
              </w:rPr>
              <w:t xml:space="preserve">per </w:t>
            </w:r>
            <w:r>
              <w:rPr>
                <w:rFonts w:ascii="Times New Roman" w:hAnsi="Times New Roman"/>
                <w:bCs w:val="0"/>
                <w:szCs w:val="20"/>
                <w:lang w:eastAsia="zh-CN"/>
              </w:rPr>
              <w:t>CC</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eastAsia="Times New Roman"/>
                <w:bCs w:val="0"/>
                <w:szCs w:val="20"/>
                <w:lang w:eastAsia="zh-CN"/>
              </w:rPr>
            </w:pPr>
            <w:r>
              <w:rPr>
                <w:rFonts w:ascii="Times New Roman" w:hAnsi="Times New Roman" w:eastAsia="Times New Roman"/>
                <w:bCs w:val="0"/>
                <w:szCs w:val="20"/>
                <w:lang w:eastAsia="zh-CN"/>
              </w:rPr>
              <w:t>SCS</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eastAsia="Times New Roman"/>
                <w:bCs w:val="0"/>
                <w:szCs w:val="20"/>
                <w:lang w:eastAsia="zh-CN"/>
              </w:rPr>
            </w:pPr>
            <w:r>
              <w:rPr>
                <w:rFonts w:ascii="Times New Roman" w:hAnsi="Times New Roman" w:eastAsia="Times New Roman"/>
                <w:bCs w:val="0"/>
                <w:szCs w:val="20"/>
                <w:lang w:eastAsia="zh-CN"/>
              </w:rPr>
              <w:t>960 kHz</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bCs w:val="0"/>
                <w:szCs w:val="20"/>
                <w:lang w:eastAsia="zh-CN"/>
              </w:rPr>
            </w:pPr>
            <w:r>
              <w:rPr>
                <w:rFonts w:ascii="Times New Roman" w:hAnsi="Times New Roman"/>
                <w:bCs w:val="0"/>
                <w:szCs w:val="20"/>
                <w:lang w:eastAsia="zh-CN"/>
              </w:rPr>
              <w:t>Channel model</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hint="default" w:ascii="Times New Roman" w:hAnsi="Times New Roman"/>
                <w:bCs w:val="0"/>
                <w:szCs w:val="20"/>
                <w:lang w:eastAsia="zh-CN"/>
              </w:rPr>
            </w:pPr>
            <w:r>
              <w:rPr>
                <w:rFonts w:hint="default" w:ascii="Times New Roman" w:hAnsi="Times New Roman"/>
                <w:bCs w:val="0"/>
                <w:szCs w:val="20"/>
                <w:lang w:val="en-GB" w:eastAsia="zh-CN"/>
              </w:rPr>
              <w:t>T</w:t>
            </w:r>
            <w:r>
              <w:rPr>
                <w:rFonts w:hint="default" w:ascii="Times New Roman" w:hAnsi="Times New Roman"/>
                <w:bCs w:val="0"/>
                <w:szCs w:val="20"/>
                <w:lang w:eastAsia="zh-CN"/>
              </w:rPr>
              <w:t>he channel model for UE-to-UE links：InH open office: InH – office channel model with LOS probability for indoor - mixed office from TR38.901</w:t>
            </w:r>
          </w:p>
          <w:p>
            <w:pPr>
              <w:keepNext w:val="0"/>
              <w:keepLines w:val="0"/>
              <w:overflowPunct/>
              <w:autoSpaceDE/>
              <w:autoSpaceDN/>
              <w:adjustRightInd/>
              <w:spacing w:after="0" w:line="260" w:lineRule="auto"/>
              <w:jc w:val="center"/>
              <w:textAlignment w:val="auto"/>
              <w:rPr>
                <w:rFonts w:ascii="Times New Roman" w:hAnsi="Times New Roman"/>
                <w:bCs w:val="0"/>
                <w:szCs w:val="20"/>
                <w:lang w:eastAsia="zh-CN"/>
              </w:rPr>
            </w:pPr>
            <w:r>
              <w:rPr>
                <w:rFonts w:hint="default" w:ascii="Times New Roman" w:hAnsi="Times New Roman"/>
                <w:bCs w:val="0"/>
                <w:szCs w:val="20"/>
                <w:lang w:val="en-GB" w:eastAsia="zh-CN"/>
              </w:rPr>
              <w:t>T</w:t>
            </w:r>
            <w:r>
              <w:rPr>
                <w:rFonts w:hint="default" w:ascii="Times New Roman" w:hAnsi="Times New Roman"/>
                <w:bCs w:val="0"/>
                <w:szCs w:val="20"/>
                <w:lang w:eastAsia="zh-CN"/>
              </w:rPr>
              <w:t>he channel model for gNB-to-UE and gNB-gNB links：InH open office: InH – office channel model with LOS probability for indoor - open office from TR38.901</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rPr>
            </w:pPr>
            <w:r>
              <w:rPr>
                <w:rFonts w:ascii="Times New Roman" w:hAnsi="Times New Roman"/>
                <w:szCs w:val="20"/>
              </w:rPr>
              <w:t>Max. allowed BS Tx power</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r>
              <w:rPr>
                <w:rFonts w:ascii="Times New Roman" w:hAnsi="Times New Roman"/>
                <w:szCs w:val="20"/>
                <w:lang w:eastAsia="zh-CN"/>
              </w:rPr>
              <w:t>40 dBm EIRP</w:t>
            </w:r>
          </w:p>
          <w:p>
            <w:pPr>
              <w:spacing w:after="0" w:line="260" w:lineRule="auto"/>
              <w:jc w:val="center"/>
              <w:rPr>
                <w:rFonts w:ascii="Times New Roman" w:hAnsi="Times New Roman" w:eastAsia="Times New Roman"/>
                <w:szCs w:val="20"/>
                <w:lang w:eastAsia="zh-CN"/>
              </w:rPr>
            </w:pP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highlight w:val="none"/>
                <w:lang w:eastAsia="zh-CN"/>
              </w:rPr>
            </w:pPr>
            <w:r>
              <w:rPr>
                <w:rFonts w:ascii="Times New Roman" w:hAnsi="Times New Roman"/>
                <w:szCs w:val="20"/>
                <w:lang w:eastAsia="zh-CN"/>
              </w:rPr>
              <w:t>Max. allowed UE Tx Power</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szCs w:val="20"/>
                <w:highlight w:val="none"/>
                <w:lang w:eastAsia="zh-CN"/>
              </w:rPr>
            </w:pPr>
            <w:r>
              <w:rPr>
                <w:rFonts w:ascii="Times New Roman" w:hAnsi="Times New Roman"/>
                <w:szCs w:val="20"/>
                <w:lang w:eastAsia="zh-CN"/>
              </w:rPr>
              <w:t>25 dBm EIRP</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lang w:eastAsia="zh-CN"/>
              </w:rPr>
            </w:pPr>
            <w:r>
              <w:rPr>
                <w:rFonts w:ascii="Times New Roman" w:hAnsi="Times New Roman"/>
                <w:szCs w:val="20"/>
                <w:lang w:eastAsia="zh-CN"/>
              </w:rPr>
              <w:t>BS Antenna gain</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szCs w:val="20"/>
                <w:lang w:eastAsia="zh-CN"/>
              </w:rPr>
            </w:pPr>
            <w:r>
              <w:rPr>
                <w:rFonts w:ascii="Times New Roman" w:hAnsi="Times New Roman"/>
                <w:szCs w:val="20"/>
                <w:lang w:eastAsia="zh-CN"/>
              </w:rPr>
              <w:t>5 dBi</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lang w:eastAsia="zh-CN"/>
              </w:rPr>
            </w:pPr>
            <w:r>
              <w:rPr>
                <w:rFonts w:ascii="Times New Roman" w:hAnsi="Times New Roman"/>
                <w:szCs w:val="20"/>
                <w:lang w:eastAsia="zh-CN"/>
              </w:rPr>
              <w:t>UE Antenna gain</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szCs w:val="20"/>
                <w:lang w:eastAsia="zh-CN"/>
              </w:rPr>
            </w:pPr>
            <w:r>
              <w:rPr>
                <w:rFonts w:hint="default"/>
                <w:szCs w:val="20"/>
                <w:lang w:val="en-GB" w:eastAsia="zh-CN"/>
              </w:rPr>
              <w:t>5</w:t>
            </w:r>
            <w:r>
              <w:rPr>
                <w:rFonts w:ascii="Times New Roman" w:hAnsi="Times New Roman"/>
                <w:szCs w:val="20"/>
                <w:lang w:eastAsia="zh-CN"/>
              </w:rPr>
              <w:t xml:space="preserve"> dBi</w:t>
            </w:r>
          </w:p>
        </w:tc>
      </w:tr>
      <w:tr>
        <w:tblPrEx>
          <w:tblLayout w:type="fixed"/>
          <w:tblCellMar>
            <w:top w:w="0" w:type="dxa"/>
            <w:left w:w="0" w:type="dxa"/>
            <w:bottom w:w="0" w:type="dxa"/>
            <w:right w:w="0" w:type="dxa"/>
          </w:tblCellMar>
        </w:tblPrEx>
        <w:trPr>
          <w:trHeight w:val="399"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lang w:eastAsia="zh-CN"/>
              </w:rPr>
            </w:pPr>
            <w:r>
              <w:rPr>
                <w:rFonts w:ascii="Times New Roman" w:hAnsi="Times New Roman"/>
                <w:szCs w:val="20"/>
                <w:lang w:eastAsia="zh-CN"/>
              </w:rPr>
              <w:t>BS antenna height</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szCs w:val="20"/>
                <w:lang w:eastAsia="zh-CN"/>
              </w:rPr>
            </w:pPr>
            <w:r>
              <w:rPr>
                <w:rFonts w:ascii="Times New Roman" w:hAnsi="Times New Roman"/>
                <w:szCs w:val="20"/>
                <w:lang w:eastAsia="zh-CN"/>
              </w:rPr>
              <w:t>3 m</w:t>
            </w:r>
          </w:p>
        </w:tc>
        <w:tc>
          <w:tcPr>
            <w:tcW w:w="3234" w:type="dxa"/>
            <w:vAlign w:val="top"/>
          </w:tcPr>
          <w:p>
            <w:pPr>
              <w:rPr>
                <w:rFonts w:ascii="Times New Roman" w:hAnsi="Times New Roman"/>
                <w:szCs w:val="20"/>
              </w:rPr>
            </w:pPr>
          </w:p>
        </w:tc>
      </w:tr>
      <w:tr>
        <w:tblPrEx>
          <w:tblLayout w:type="fixed"/>
          <w:tblCellMar>
            <w:top w:w="0" w:type="dxa"/>
            <w:left w:w="0" w:type="dxa"/>
            <w:bottom w:w="0" w:type="dxa"/>
            <w:right w:w="0" w:type="dxa"/>
          </w:tblCellMar>
        </w:tblPrEx>
        <w:trPr>
          <w:trHeight w:val="324"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rPr>
            </w:pPr>
            <w:r>
              <w:rPr>
                <w:rFonts w:ascii="Times New Roman" w:hAnsi="Times New Roman"/>
                <w:szCs w:val="20"/>
              </w:rPr>
              <w:t>BS receiver noise figure</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lang w:eastAsia="zh-CN"/>
              </w:rPr>
            </w:pPr>
            <w:r>
              <w:rPr>
                <w:rFonts w:ascii="Times New Roman" w:hAnsi="Times New Roman"/>
                <w:szCs w:val="20"/>
                <w:lang w:val="en-GB" w:eastAsia="zh-CN"/>
              </w:rPr>
              <w:t>7 dB</w:t>
            </w:r>
          </w:p>
        </w:tc>
        <w:tc>
          <w:tcPr>
            <w:tcW w:w="3234" w:type="dxa"/>
            <w:vAlign w:val="top"/>
          </w:tcPr>
          <w:p>
            <w:pPr>
              <w:rPr>
                <w:rFonts w:ascii="Times New Roman" w:hAnsi="Times New Roman"/>
                <w:szCs w:val="20"/>
              </w:rPr>
            </w:pPr>
          </w:p>
          <w:p>
            <w:pPr>
              <w:rPr>
                <w:rFonts w:ascii="Times New Roman" w:hAnsi="Times New Roman"/>
                <w:szCs w:val="20"/>
              </w:rPr>
            </w:pPr>
          </w:p>
        </w:tc>
      </w:tr>
      <w:tr>
        <w:tblPrEx>
          <w:tblLayout w:type="fixed"/>
          <w:tblCellMar>
            <w:top w:w="0" w:type="dxa"/>
            <w:left w:w="0" w:type="dxa"/>
            <w:bottom w:w="0" w:type="dxa"/>
            <w:right w:w="0" w:type="dxa"/>
          </w:tblCellMar>
        </w:tblPrEx>
        <w:trPr>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lang w:eastAsia="zh-CN"/>
              </w:rPr>
            </w:pPr>
            <w:r>
              <w:rPr>
                <w:rFonts w:ascii="Times New Roman" w:hAnsi="Times New Roman"/>
                <w:szCs w:val="20"/>
                <w:lang w:eastAsia="zh-CN"/>
              </w:rPr>
              <w:t>UE receiver noise figure</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eastAsia="Times New Roman"/>
                <w:szCs w:val="20"/>
                <w:lang w:eastAsia="zh-CN"/>
              </w:rPr>
            </w:pPr>
            <w:r>
              <w:rPr>
                <w:rFonts w:ascii="Times New Roman" w:hAnsi="Times New Roman" w:eastAsia="Times New Roman"/>
                <w:szCs w:val="20"/>
                <w:lang w:val="en-GB" w:eastAsia="zh-CN"/>
              </w:rPr>
              <w:t>10 dB</w:t>
            </w:r>
          </w:p>
        </w:tc>
        <w:tc>
          <w:tcPr>
            <w:tcW w:w="3234" w:type="dxa"/>
            <w:vAlign w:val="top"/>
          </w:tcPr>
          <w:p>
            <w:pPr>
              <w:rPr>
                <w:rFonts w:ascii="Times New Roman" w:hAnsi="Times New Roman"/>
                <w:szCs w:val="20"/>
                <w:lang w:eastAsia="zh-CN"/>
              </w:rPr>
            </w:pPr>
          </w:p>
          <w:p>
            <w:pPr>
              <w:rPr>
                <w:rFonts w:ascii="Times New Roman" w:hAnsi="Times New Roman"/>
                <w:szCs w:val="20"/>
                <w:lang w:eastAsia="zh-CN"/>
              </w:rPr>
            </w:pPr>
          </w:p>
        </w:tc>
      </w:tr>
      <w:tr>
        <w:tblPrEx>
          <w:tblLayout w:type="fixed"/>
          <w:tblCellMar>
            <w:top w:w="0" w:type="dxa"/>
            <w:left w:w="0" w:type="dxa"/>
            <w:bottom w:w="0" w:type="dxa"/>
            <w:right w:w="0" w:type="dxa"/>
          </w:tblCellMar>
        </w:tblPrEx>
        <w:trPr>
          <w:gridAfter w:val="1"/>
          <w:wAfter w:w="3234" w:type="dxa"/>
          <w:trHeight w:val="273"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lang w:eastAsia="zh-CN"/>
              </w:rPr>
            </w:pPr>
            <w:r>
              <w:rPr>
                <w:rFonts w:ascii="Times New Roman" w:hAnsi="Times New Roman"/>
                <w:szCs w:val="20"/>
                <w:lang w:eastAsia="zh-CN"/>
              </w:rPr>
              <w:t>BS antenna array configuration</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pStyle w:val="16"/>
              <w:spacing w:after="0" w:line="240" w:lineRule="auto"/>
              <w:jc w:val="center"/>
              <w:rPr>
                <w:rFonts w:ascii="Times New Roman" w:hAnsi="Times New Roman"/>
                <w:szCs w:val="20"/>
                <w:lang w:eastAsia="zh-CN"/>
              </w:rPr>
            </w:pPr>
            <w:r>
              <w:rPr>
                <w:sz w:val="20"/>
                <w:szCs w:val="20"/>
                <w:lang w:eastAsia="zh-CN"/>
              </w:rPr>
              <w:t>(</w:t>
            </w:r>
            <w:r>
              <w:rPr>
                <w:rFonts w:ascii="Times New Roman" w:hAnsi="Times New Roman" w:eastAsia="Times New Roman" w:cs="Times New Roman"/>
                <w:kern w:val="0"/>
                <w:sz w:val="20"/>
                <w:szCs w:val="20"/>
                <w:lang w:val="en-GB" w:eastAsia="zh-CN" w:bidi="ar-SA"/>
              </w:rPr>
              <w:t>Mg,Ng,M,N,P) = (1,1,4,8,2)</w:t>
            </w:r>
            <w:r>
              <w:rPr>
                <w:rFonts w:hint="default" w:cs="Times New Roman"/>
                <w:kern w:val="0"/>
                <w:sz w:val="20"/>
                <w:szCs w:val="20"/>
                <w:lang w:val="en-GB" w:eastAsia="zh-CN" w:bidi="ar-SA"/>
              </w:rPr>
              <w:t xml:space="preserve"> </w:t>
            </w:r>
            <w:r>
              <w:rPr>
                <w:rFonts w:ascii="Times New Roman" w:hAnsi="Times New Roman" w:eastAsia="Times New Roman" w:cs="Times New Roman"/>
                <w:kern w:val="0"/>
                <w:sz w:val="20"/>
                <w:szCs w:val="20"/>
                <w:lang w:val="en-GB" w:eastAsia="zh-CN" w:bidi="ar-SA"/>
              </w:rPr>
              <w:t>with (0.5 dv, 0.5 dH)</w:t>
            </w:r>
          </w:p>
        </w:tc>
      </w:tr>
      <w:tr>
        <w:tblPrEx>
          <w:tblLayout w:type="fixed"/>
          <w:tblCellMar>
            <w:top w:w="0" w:type="dxa"/>
            <w:left w:w="0" w:type="dxa"/>
            <w:bottom w:w="0" w:type="dxa"/>
            <w:right w:w="0" w:type="dxa"/>
          </w:tblCellMar>
        </w:tblPrEx>
        <w:trPr>
          <w:gridAfter w:val="1"/>
          <w:wAfter w:w="3234" w:type="dxa"/>
          <w:trHeight w:val="33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szCs w:val="20"/>
                <w:lang w:eastAsia="zh-CN"/>
              </w:rPr>
            </w:pPr>
            <w:r>
              <w:rPr>
                <w:rFonts w:ascii="Times New Roman" w:hAnsi="Times New Roman"/>
                <w:szCs w:val="20"/>
              </w:rPr>
              <w:t>UE antenna array configuration</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overflowPunct/>
              <w:autoSpaceDE/>
              <w:autoSpaceDN/>
              <w:adjustRightInd/>
              <w:spacing w:after="0" w:line="260" w:lineRule="auto"/>
              <w:jc w:val="center"/>
              <w:textAlignment w:val="auto"/>
              <w:rPr>
                <w:rFonts w:ascii="Times New Roman" w:hAnsi="Times New Roman"/>
                <w:szCs w:val="20"/>
                <w:lang w:eastAsia="zh-CN"/>
              </w:rPr>
            </w:pPr>
            <w:r>
              <w:rPr>
                <w:rFonts w:ascii="Times New Roman" w:hAnsi="Times New Roman" w:eastAsia="Times New Roman" w:cs="Times New Roman"/>
                <w:kern w:val="0"/>
                <w:sz w:val="20"/>
                <w:szCs w:val="20"/>
                <w:lang w:val="en-US" w:eastAsia="zh-CN" w:bidi="ar-SA"/>
              </w:rPr>
              <w:t>(Mg,Ng,M,N,P) = (1,</w:t>
            </w:r>
            <w:r>
              <w:rPr>
                <w:rFonts w:hint="default" w:cs="Times New Roman"/>
                <w:kern w:val="0"/>
                <w:sz w:val="20"/>
                <w:szCs w:val="20"/>
                <w:lang w:val="en-US" w:eastAsia="zh-CN" w:bidi="ar-SA"/>
              </w:rPr>
              <w:t>2</w:t>
            </w:r>
            <w:r>
              <w:rPr>
                <w:rFonts w:ascii="Times New Roman" w:hAnsi="Times New Roman" w:eastAsia="Times New Roman" w:cs="Times New Roman"/>
                <w:kern w:val="0"/>
                <w:sz w:val="20"/>
                <w:szCs w:val="20"/>
                <w:lang w:val="en-US" w:eastAsia="zh-CN" w:bidi="ar-SA"/>
              </w:rPr>
              <w:t>,2,2,2)with (0.5 dv, 0.5 dH)</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rPr>
            </w:pPr>
            <w:r>
              <w:rPr>
                <w:rFonts w:ascii="Times New Roman" w:hAnsi="Times New Roman"/>
                <w:szCs w:val="20"/>
              </w:rPr>
              <w:t>Traffic model</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eastAsia="Times New Roman"/>
                <w:szCs w:val="20"/>
                <w:lang w:eastAsia="zh-CN"/>
              </w:rPr>
            </w:pPr>
            <w:r>
              <w:rPr>
                <w:rFonts w:ascii="Times New Roman" w:hAnsi="Times New Roman"/>
                <w:szCs w:val="20"/>
                <w:lang w:eastAsia="zh-CN"/>
              </w:rPr>
              <w:t xml:space="preserve">FTP3 with packet size of </w:t>
            </w:r>
            <w:r>
              <w:rPr>
                <w:rFonts w:hint="default"/>
                <w:szCs w:val="20"/>
                <w:lang w:val="en-US" w:eastAsia="zh-CN"/>
              </w:rPr>
              <w:t>27</w:t>
            </w:r>
            <w:r>
              <w:rPr>
                <w:rFonts w:ascii="Times New Roman" w:hAnsi="Times New Roman"/>
                <w:szCs w:val="20"/>
                <w:lang w:eastAsia="zh-CN"/>
              </w:rPr>
              <w:t>Mbyte.</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rPr>
            </w:pPr>
            <w:r>
              <w:rPr>
                <w:rFonts w:ascii="Times New Roman" w:hAnsi="Times New Roman"/>
                <w:szCs w:val="20"/>
              </w:rPr>
              <w:t>UE receiver</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szCs w:val="20"/>
                <w:lang w:eastAsia="zh-CN"/>
              </w:rPr>
            </w:pPr>
            <w:r>
              <w:rPr>
                <w:rFonts w:ascii="Times New Roman" w:hAnsi="Times New Roman"/>
                <w:szCs w:val="20"/>
                <w:lang w:eastAsia="zh-CN"/>
              </w:rPr>
              <w:t>MMSE-IRC as the baseline receiver</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szCs w:val="20"/>
                <w:lang w:eastAsia="zh-CN"/>
              </w:rPr>
            </w:pPr>
            <w:r>
              <w:rPr>
                <w:rFonts w:ascii="Times New Roman" w:hAnsi="Times New Roman"/>
                <w:szCs w:val="20"/>
                <w:lang w:eastAsia="zh-CN"/>
              </w:rPr>
              <w:t>Overhead</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szCs w:val="20"/>
                <w:lang w:eastAsia="zh-CN"/>
              </w:rPr>
            </w:pPr>
            <w:r>
              <w:rPr>
                <w:rFonts w:ascii="Times New Roman" w:hAnsi="Times New Roman"/>
                <w:szCs w:val="20"/>
                <w:lang w:eastAsia="zh-CN"/>
              </w:rPr>
              <w:t>PDCCH Overhead</w:t>
            </w:r>
            <w:r>
              <w:rPr>
                <w:rFonts w:hint="default" w:ascii="Times New Roman" w:hAnsi="Times New Roman"/>
                <w:szCs w:val="20"/>
                <w:lang w:val="en-US" w:eastAsia="zh-CN"/>
              </w:rPr>
              <w:t>:</w:t>
            </w:r>
            <w:r>
              <w:rPr>
                <w:rFonts w:ascii="Times New Roman" w:hAnsi="Times New Roman"/>
                <w:szCs w:val="20"/>
                <w:lang w:eastAsia="zh-CN"/>
              </w:rPr>
              <w:t>2 symbol per slot</w:t>
            </w:r>
          </w:p>
          <w:p>
            <w:pPr>
              <w:keepNext w:val="0"/>
              <w:keepLines w:val="0"/>
              <w:overflowPunct/>
              <w:autoSpaceDE/>
              <w:autoSpaceDN/>
              <w:adjustRightInd/>
              <w:spacing w:after="0" w:line="260" w:lineRule="auto"/>
              <w:jc w:val="center"/>
              <w:textAlignment w:val="auto"/>
              <w:rPr>
                <w:rFonts w:ascii="Times New Roman" w:hAnsi="Times New Roman"/>
                <w:szCs w:val="20"/>
                <w:lang w:eastAsia="zh-CN"/>
              </w:rPr>
            </w:pPr>
            <w:r>
              <w:rPr>
                <w:rFonts w:ascii="Times New Roman" w:hAnsi="Times New Roman"/>
                <w:szCs w:val="20"/>
                <w:lang w:eastAsia="zh-CN"/>
              </w:rPr>
              <w:t>DMRS Overhead</w:t>
            </w:r>
            <w:r>
              <w:rPr>
                <w:rFonts w:hint="default" w:ascii="Times New Roman" w:hAnsi="Times New Roman"/>
                <w:szCs w:val="20"/>
                <w:lang w:val="en-US" w:eastAsia="zh-CN"/>
              </w:rPr>
              <w:t>:</w:t>
            </w:r>
            <w:r>
              <w:rPr>
                <w:rFonts w:ascii="Times New Roman" w:hAnsi="Times New Roman"/>
                <w:szCs w:val="20"/>
                <w:lang w:eastAsia="zh-CN"/>
              </w:rPr>
              <w:t>1 symbol per slot</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rPr>
            </w:pPr>
            <w:r>
              <w:rPr>
                <w:rFonts w:ascii="Times New Roman" w:hAnsi="Times New Roman"/>
                <w:szCs w:val="20"/>
              </w:rPr>
              <w:t>Channel estimation</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eastAsia="Times New Roman"/>
                <w:szCs w:val="20"/>
                <w:lang w:eastAsia="zh-CN"/>
              </w:rPr>
            </w:pPr>
            <w:r>
              <w:rPr>
                <w:rFonts w:hint="default" w:eastAsia="Times New Roman"/>
                <w:szCs w:val="20"/>
                <w:lang w:val="en-US" w:eastAsia="zh-CN"/>
              </w:rPr>
              <w:t>real</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rPr>
            </w:pPr>
            <w:r>
              <w:rPr>
                <w:rFonts w:ascii="Times New Roman" w:hAnsi="Times New Roman"/>
                <w:szCs w:val="20"/>
              </w:rPr>
              <w:t>Traffic type</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eastAsia="Times New Roman"/>
                <w:szCs w:val="20"/>
                <w:lang w:eastAsia="zh-CN"/>
              </w:rPr>
            </w:pPr>
            <w:r>
              <w:rPr>
                <w:rFonts w:ascii="Times New Roman" w:hAnsi="Times New Roman"/>
                <w:szCs w:val="20"/>
                <w:lang w:eastAsia="zh-CN"/>
              </w:rPr>
              <w:t>DL only</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ascii="Times New Roman" w:hAnsi="Times New Roman"/>
                <w:szCs w:val="20"/>
                <w:lang w:eastAsia="zh-CN"/>
              </w:rPr>
            </w:pPr>
            <w:r>
              <w:rPr>
                <w:rFonts w:ascii="Times New Roman" w:hAnsi="Times New Roman"/>
                <w:szCs w:val="20"/>
                <w:lang w:eastAsia="zh-CN"/>
              </w:rPr>
              <w:t>Metric</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ascii="Times New Roman" w:hAnsi="Times New Roman"/>
                <w:szCs w:val="20"/>
                <w:lang w:eastAsia="zh-CN"/>
              </w:rPr>
            </w:pPr>
            <w:r>
              <w:rPr>
                <w:rFonts w:ascii="Times New Roman" w:hAnsi="Times New Roman"/>
                <w:szCs w:val="20"/>
                <w:lang w:eastAsia="zh-CN"/>
              </w:rPr>
              <w:t>UPT Statistics</w:t>
            </w:r>
            <w:r>
              <w:rPr>
                <w:rFonts w:hint="default"/>
                <w:szCs w:val="20"/>
                <w:lang w:val="en-US" w:eastAsia="zh-CN"/>
              </w:rPr>
              <w:t>, latency, BO, RU</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hint="default" w:ascii="Times New Roman" w:hAnsi="Times New Roman"/>
                <w:szCs w:val="20"/>
                <w:lang w:val="en-US" w:eastAsia="zh-CN"/>
              </w:rPr>
            </w:pPr>
            <w:r>
              <w:rPr>
                <w:rFonts w:hint="default"/>
                <w:szCs w:val="20"/>
                <w:lang w:val="en-US" w:eastAsia="zh-CN"/>
              </w:rPr>
              <w:t>LBT mode</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hint="default" w:ascii="Times New Roman" w:hAnsi="Times New Roman"/>
                <w:szCs w:val="20"/>
                <w:lang w:val="en-US" w:eastAsia="zh-CN"/>
              </w:rPr>
            </w:pPr>
            <w:r>
              <w:rPr>
                <w:rFonts w:hint="default"/>
                <w:szCs w:val="20"/>
                <w:lang w:val="en-US" w:eastAsia="zh-CN"/>
              </w:rPr>
              <w:t>CAT2 LBT</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hint="default"/>
                <w:szCs w:val="20"/>
                <w:lang w:val="en-US" w:eastAsia="zh-CN"/>
              </w:rPr>
            </w:pPr>
            <w:r>
              <w:rPr>
                <w:rFonts w:hint="default"/>
                <w:szCs w:val="20"/>
                <w:lang w:val="en-US" w:eastAsia="zh-CN"/>
              </w:rPr>
              <w:t>LBT duration</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hint="default"/>
                <w:szCs w:val="20"/>
                <w:lang w:val="en-US" w:eastAsia="zh-CN"/>
              </w:rPr>
            </w:pPr>
            <w:r>
              <w:rPr>
                <w:rFonts w:hint="default"/>
                <w:szCs w:val="20"/>
                <w:lang w:val="en-US" w:eastAsia="zh-CN"/>
              </w:rPr>
              <w:t>13us</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hint="default"/>
                <w:szCs w:val="20"/>
                <w:lang w:val="en-US" w:eastAsia="zh-CN"/>
              </w:rPr>
            </w:pPr>
            <w:r>
              <w:rPr>
                <w:rFonts w:hint="default"/>
                <w:szCs w:val="20"/>
                <w:lang w:val="en-US" w:eastAsia="zh-CN"/>
              </w:rPr>
              <w:t>CCA threshold</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hint="default"/>
                <w:szCs w:val="20"/>
                <w:lang w:val="en-US" w:eastAsia="zh-CN"/>
              </w:rPr>
            </w:pPr>
            <w:r>
              <w:rPr>
                <w:rFonts w:hint="default"/>
                <w:szCs w:val="20"/>
                <w:lang w:val="en-US" w:eastAsia="zh-CN"/>
              </w:rPr>
              <w:t>-68dBm</w:t>
            </w:r>
          </w:p>
        </w:tc>
      </w:tr>
      <w:tr>
        <w:tblPrEx>
          <w:tblLayout w:type="fixed"/>
          <w:tblCellMar>
            <w:top w:w="0" w:type="dxa"/>
            <w:left w:w="0" w:type="dxa"/>
            <w:bottom w:w="0" w:type="dxa"/>
            <w:right w:w="0" w:type="dxa"/>
          </w:tblCellMar>
        </w:tblPrEx>
        <w:trPr>
          <w:gridAfter w:val="1"/>
          <w:wAfter w:w="3234" w:type="dxa"/>
          <w:trHeight w:val="300" w:hRule="atLeast"/>
        </w:trPr>
        <w:tc>
          <w:tcPr>
            <w:tcW w:w="2203" w:type="dxa"/>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spacing w:after="0" w:line="260" w:lineRule="auto"/>
              <w:jc w:val="center"/>
              <w:rPr>
                <w:rFonts w:hint="default"/>
                <w:szCs w:val="20"/>
                <w:lang w:val="en-US" w:eastAsia="zh-CN"/>
              </w:rPr>
            </w:pPr>
            <w:r>
              <w:rPr>
                <w:rFonts w:hint="default"/>
                <w:szCs w:val="20"/>
                <w:lang w:val="en-US" w:eastAsia="zh-CN"/>
              </w:rPr>
              <w:t>Traffic load</w:t>
            </w:r>
          </w:p>
        </w:tc>
        <w:tc>
          <w:tcPr>
            <w:tcW w:w="7011" w:type="dxa"/>
            <w:gridSpan w:val="2"/>
            <w:tcBorders>
              <w:top w:val="single" w:color="000000" w:sz="4" w:space="0"/>
              <w:left w:val="single" w:color="000000" w:sz="4" w:space="0"/>
              <w:bottom w:val="single" w:color="000000" w:sz="4" w:space="0"/>
              <w:right w:val="single" w:color="000000" w:sz="4" w:space="0"/>
            </w:tcBorders>
            <w:tcMar>
              <w:top w:w="11" w:type="dxa"/>
              <w:left w:w="11" w:type="dxa"/>
              <w:bottom w:w="0" w:type="dxa"/>
              <w:right w:w="11" w:type="dxa"/>
            </w:tcMar>
            <w:vAlign w:val="center"/>
          </w:tcPr>
          <w:p>
            <w:pPr>
              <w:keepNext w:val="0"/>
              <w:keepLines w:val="0"/>
              <w:overflowPunct/>
              <w:autoSpaceDE/>
              <w:autoSpaceDN/>
              <w:adjustRightInd/>
              <w:spacing w:after="0" w:line="260" w:lineRule="auto"/>
              <w:jc w:val="center"/>
              <w:textAlignment w:val="auto"/>
              <w:rPr>
                <w:rFonts w:hint="default"/>
                <w:szCs w:val="20"/>
                <w:lang w:val="en-US" w:eastAsia="zh-CN"/>
              </w:rPr>
            </w:pPr>
            <w:r>
              <w:rPr>
                <w:rFonts w:hint="default"/>
                <w:szCs w:val="20"/>
                <w:lang w:val="en-US" w:eastAsia="zh-CN"/>
              </w:rPr>
              <w:t>High load</w:t>
            </w:r>
          </w:p>
        </w:tc>
      </w:tr>
    </w:tbl>
    <w:p>
      <w:pPr>
        <w:rPr>
          <w:lang w:eastAsia="zh-CN"/>
        </w:rPr>
      </w:pPr>
    </w:p>
    <w:sectPr>
      <w:footnotePr>
        <w:numRestart w:val="eachSect"/>
      </w:footnotePr>
      <w:pgSz w:w="11907" w:h="16840"/>
      <w:pgMar w:top="1134" w:right="1134" w:bottom="1418" w:left="1134" w:header="680" w:footer="567" w:gutter="0"/>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等线">
    <w:altName w:val="微软雅黑"/>
    <w:panose1 w:val="02010600030101010101"/>
    <w:charset w:val="86"/>
    <w:family w:val="auto"/>
    <w:pitch w:val="default"/>
    <w:sig w:usb0="00000000" w:usb1="00000000" w:usb2="00000016" w:usb3="00000000" w:csb0="0004000F" w:csb1="00000000"/>
  </w:font>
  <w:font w:name="Segoe UI">
    <w:panose1 w:val="020B0502040204020203"/>
    <w:charset w:val="00"/>
    <w:family w:val="swiss"/>
    <w:pitch w:val="default"/>
    <w:sig w:usb0="E10022FF" w:usb1="C000E47F" w:usb2="00000029" w:usb3="00000000" w:csb0="200001DF" w:csb1="20000000"/>
  </w:font>
  <w:font w:name="Calibri">
    <w:panose1 w:val="020F0502020204030204"/>
    <w:charset w:val="00"/>
    <w:family w:val="swiss"/>
    <w:pitch w:val="default"/>
    <w:sig w:usb0="E00002FF" w:usb1="4000ACFF" w:usb2="00000001" w:usb3="00000000" w:csb0="2000019F" w:csb1="00000000"/>
  </w:font>
  <w:font w:name="MS Mincho">
    <w:panose1 w:val="02020609040205080304"/>
    <w:charset w:val="80"/>
    <w:family w:val="modern"/>
    <w:pitch w:val="default"/>
    <w:sig w:usb0="E00002FF" w:usb1="6AC7FDFB" w:usb2="00000012" w:usb3="00000000" w:csb0="4002009F" w:csb1="DFD70000"/>
  </w:font>
  <w:font w:name="Batang">
    <w:panose1 w:val="02030600000101010101"/>
    <w:charset w:val="81"/>
    <w:family w:val="roman"/>
    <w:pitch w:val="default"/>
    <w:sig w:usb0="B00002AF" w:usb1="69D77CFB" w:usb2="00000030" w:usb3="00000000" w:csb0="4008009F" w:csb1="DFD70000"/>
  </w:font>
  <w:font w:name="Malgun Gothic">
    <w:panose1 w:val="020B0503020000020004"/>
    <w:charset w:val="81"/>
    <w:family w:val="swiss"/>
    <w:pitch w:val="default"/>
    <w:sig w:usb0="900002AF" w:usb1="01D77CFB" w:usb2="00000012" w:usb3="00000000" w:csb0="00080001" w:csb1="00000000"/>
  </w:font>
  <w:font w:name="Calibri Light">
    <w:panose1 w:val="020F0302020204030204"/>
    <w:charset w:val="00"/>
    <w:family w:val="swiss"/>
    <w:pitch w:val="default"/>
    <w:sig w:usb0="A00002EF" w:usb1="4000207B" w:usb2="00000000"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auto"/>
    <w:pitch w:val="default"/>
    <w:sig w:usb0="80000287" w:usb1="280F3C52" w:usb2="00000016" w:usb3="00000000" w:csb0="0004001F" w:csb1="00000000"/>
  </w:font>
  <w:font w:name="Times">
    <w:altName w:val="Times New Roman"/>
    <w:panose1 w:val="02020603050405020304"/>
    <w:charset w:val="00"/>
    <w:family w:val="roman"/>
    <w:pitch w:val="default"/>
    <w:sig w:usb0="00000000" w:usb1="00000000" w:usb2="00000009" w:usb3="00000000" w:csb0="000001FF" w:csb1="00000000"/>
  </w:font>
  <w:font w:name="MS PMincho">
    <w:panose1 w:val="02020600040205080304"/>
    <w:charset w:val="80"/>
    <w:family w:val="roman"/>
    <w:pitch w:val="default"/>
    <w:sig w:usb0="E00002FF" w:usb1="6AC7FDFB" w:usb2="00000012" w:usb3="00000000" w:csb0="4002009F" w:csb1="DFD70000"/>
  </w:font>
  <w:font w:name="等线">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Wingdings">
    <w:panose1 w:val="05000000000000000000"/>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73EE28B"/>
    <w:multiLevelType w:val="singleLevel"/>
    <w:tmpl w:val="973EE28B"/>
    <w:lvl w:ilvl="0" w:tentative="0">
      <w:start w:val="1"/>
      <w:numFmt w:val="decimal"/>
      <w:suff w:val="space"/>
      <w:lvlText w:val="[%1]"/>
      <w:lvlJc w:val="left"/>
    </w:lvl>
  </w:abstractNum>
  <w:abstractNum w:abstractNumId="1">
    <w:nsid w:val="BC050894"/>
    <w:multiLevelType w:val="singleLevel"/>
    <w:tmpl w:val="BC050894"/>
    <w:lvl w:ilvl="0" w:tentative="0">
      <w:start w:val="1"/>
      <w:numFmt w:val="bullet"/>
      <w:lvlText w:val=""/>
      <w:lvlJc w:val="left"/>
      <w:pPr>
        <w:ind w:left="420" w:hanging="420"/>
      </w:pPr>
      <w:rPr>
        <w:rFonts w:hint="default" w:ascii="Wingdings" w:hAnsi="Wingdings"/>
      </w:rPr>
    </w:lvl>
  </w:abstractNum>
  <w:abstractNum w:abstractNumId="2">
    <w:nsid w:val="C5CE3336"/>
    <w:multiLevelType w:val="singleLevel"/>
    <w:tmpl w:val="C5CE3336"/>
    <w:lvl w:ilvl="0" w:tentative="0">
      <w:start w:val="1"/>
      <w:numFmt w:val="bullet"/>
      <w:lvlText w:val=""/>
      <w:lvlJc w:val="left"/>
      <w:pPr>
        <w:ind w:left="420" w:hanging="420"/>
      </w:pPr>
      <w:rPr>
        <w:rFonts w:hint="default" w:ascii="Wingdings" w:hAnsi="Wingdings"/>
      </w:rPr>
    </w:lvl>
  </w:abstractNum>
  <w:abstractNum w:abstractNumId="3">
    <w:nsid w:val="E3F41ADC"/>
    <w:multiLevelType w:val="singleLevel"/>
    <w:tmpl w:val="E3F41ADC"/>
    <w:lvl w:ilvl="0" w:tentative="0">
      <w:start w:val="1"/>
      <w:numFmt w:val="bullet"/>
      <w:lvlText w:val=""/>
      <w:lvlJc w:val="left"/>
      <w:pPr>
        <w:ind w:left="420" w:hanging="420"/>
      </w:pPr>
      <w:rPr>
        <w:rFonts w:hint="default" w:ascii="Wingdings" w:hAnsi="Wingdings"/>
      </w:rPr>
    </w:lvl>
  </w:abstractNum>
  <w:abstractNum w:abstractNumId="4">
    <w:nsid w:val="E9B4EC38"/>
    <w:multiLevelType w:val="singleLevel"/>
    <w:tmpl w:val="E9B4EC38"/>
    <w:lvl w:ilvl="0" w:tentative="0">
      <w:start w:val="1"/>
      <w:numFmt w:val="decimal"/>
      <w:suff w:val="space"/>
      <w:lvlText w:val="%1)"/>
      <w:lvlJc w:val="left"/>
    </w:lvl>
  </w:abstractNum>
  <w:abstractNum w:abstractNumId="5">
    <w:nsid w:val="FFFFFF7E"/>
    <w:multiLevelType w:val="singleLevel"/>
    <w:tmpl w:val="FFFFFF7E"/>
    <w:lvl w:ilvl="0" w:tentative="0">
      <w:start w:val="1"/>
      <w:numFmt w:val="lowerRoman"/>
      <w:pStyle w:val="33"/>
      <w:lvlText w:val="%1."/>
      <w:lvlJc w:val="right"/>
      <w:pPr>
        <w:ind w:left="926" w:hanging="360"/>
      </w:pPr>
    </w:lvl>
  </w:abstractNum>
  <w:abstractNum w:abstractNumId="6">
    <w:nsid w:val="024C9E86"/>
    <w:multiLevelType w:val="singleLevel"/>
    <w:tmpl w:val="024C9E86"/>
    <w:lvl w:ilvl="0" w:tentative="0">
      <w:start w:val="1"/>
      <w:numFmt w:val="bullet"/>
      <w:lvlText w:val=""/>
      <w:lvlJc w:val="left"/>
      <w:pPr>
        <w:ind w:left="420" w:hanging="420"/>
      </w:pPr>
      <w:rPr>
        <w:rFonts w:hint="default" w:ascii="Wingdings" w:hAnsi="Wingdings"/>
      </w:rPr>
    </w:lvl>
  </w:abstractNum>
  <w:abstractNum w:abstractNumId="7">
    <w:nsid w:val="09A6693A"/>
    <w:multiLevelType w:val="multilevel"/>
    <w:tmpl w:val="09A6693A"/>
    <w:lvl w:ilvl="0" w:tentative="0">
      <w:start w:val="1"/>
      <w:numFmt w:val="decimal"/>
      <w:lvlText w:val="(%1)"/>
      <w:lvlJc w:val="left"/>
      <w:pPr>
        <w:ind w:left="720" w:hanging="360"/>
      </w:pPr>
      <w:rPr>
        <w:rFonts w:hint="default" w:eastAsia="宋体"/>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0CA70C6C"/>
    <w:multiLevelType w:val="multilevel"/>
    <w:tmpl w:val="0CA70C6C"/>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9">
    <w:nsid w:val="0D0076DE"/>
    <w:multiLevelType w:val="singleLevel"/>
    <w:tmpl w:val="0D0076DE"/>
    <w:lvl w:ilvl="0" w:tentative="0">
      <w:start w:val="1"/>
      <w:numFmt w:val="lowerLetter"/>
      <w:suff w:val="space"/>
      <w:lvlText w:val="(%1)"/>
      <w:lvlJc w:val="left"/>
    </w:lvl>
  </w:abstractNum>
  <w:abstractNum w:abstractNumId="10">
    <w:nsid w:val="0F847706"/>
    <w:multiLevelType w:val="multilevel"/>
    <w:tmpl w:val="0F847706"/>
    <w:lvl w:ilvl="0" w:tentative="0">
      <w:start w:val="1"/>
      <w:numFmt w:val="bullet"/>
      <w:pStyle w:val="26"/>
      <w:lvlText w:val=""/>
      <w:lvlJc w:val="left"/>
      <w:pPr>
        <w:ind w:left="1854" w:hanging="360"/>
      </w:pPr>
      <w:rPr>
        <w:rFonts w:hint="default" w:ascii="Symbol" w:hAnsi="Symbol"/>
      </w:rPr>
    </w:lvl>
    <w:lvl w:ilvl="1" w:tentative="0">
      <w:start w:val="1"/>
      <w:numFmt w:val="bullet"/>
      <w:lvlText w:val="o"/>
      <w:lvlJc w:val="left"/>
      <w:pPr>
        <w:ind w:left="2574" w:hanging="360"/>
      </w:pPr>
      <w:rPr>
        <w:rFonts w:hint="default" w:ascii="Courier New" w:hAnsi="Courier New" w:cs="Courier New"/>
      </w:rPr>
    </w:lvl>
    <w:lvl w:ilvl="2" w:tentative="0">
      <w:start w:val="1"/>
      <w:numFmt w:val="bullet"/>
      <w:lvlText w:val=""/>
      <w:lvlJc w:val="left"/>
      <w:pPr>
        <w:ind w:left="3294" w:hanging="360"/>
      </w:pPr>
      <w:rPr>
        <w:rFonts w:hint="default" w:ascii="Wingdings" w:hAnsi="Wingdings"/>
      </w:rPr>
    </w:lvl>
    <w:lvl w:ilvl="3" w:tentative="0">
      <w:start w:val="1"/>
      <w:numFmt w:val="bullet"/>
      <w:lvlText w:val=""/>
      <w:lvlJc w:val="left"/>
      <w:pPr>
        <w:ind w:left="4014" w:hanging="360"/>
      </w:pPr>
      <w:rPr>
        <w:rFonts w:hint="default" w:ascii="Symbol" w:hAnsi="Symbol"/>
      </w:rPr>
    </w:lvl>
    <w:lvl w:ilvl="4" w:tentative="0">
      <w:start w:val="1"/>
      <w:numFmt w:val="bullet"/>
      <w:lvlText w:val="o"/>
      <w:lvlJc w:val="left"/>
      <w:pPr>
        <w:ind w:left="4734" w:hanging="360"/>
      </w:pPr>
      <w:rPr>
        <w:rFonts w:hint="default" w:ascii="Courier New" w:hAnsi="Courier New" w:cs="Courier New"/>
      </w:rPr>
    </w:lvl>
    <w:lvl w:ilvl="5" w:tentative="0">
      <w:start w:val="1"/>
      <w:numFmt w:val="bullet"/>
      <w:lvlText w:val=""/>
      <w:lvlJc w:val="left"/>
      <w:pPr>
        <w:ind w:left="5454" w:hanging="360"/>
      </w:pPr>
      <w:rPr>
        <w:rFonts w:hint="default" w:ascii="Wingdings" w:hAnsi="Wingdings"/>
      </w:rPr>
    </w:lvl>
    <w:lvl w:ilvl="6" w:tentative="0">
      <w:start w:val="1"/>
      <w:numFmt w:val="bullet"/>
      <w:lvlText w:val=""/>
      <w:lvlJc w:val="left"/>
      <w:pPr>
        <w:ind w:left="6174" w:hanging="360"/>
      </w:pPr>
      <w:rPr>
        <w:rFonts w:hint="default" w:ascii="Symbol" w:hAnsi="Symbol"/>
      </w:rPr>
    </w:lvl>
    <w:lvl w:ilvl="7" w:tentative="0">
      <w:start w:val="1"/>
      <w:numFmt w:val="bullet"/>
      <w:lvlText w:val="o"/>
      <w:lvlJc w:val="left"/>
      <w:pPr>
        <w:ind w:left="6894" w:hanging="360"/>
      </w:pPr>
      <w:rPr>
        <w:rFonts w:hint="default" w:ascii="Courier New" w:hAnsi="Courier New" w:cs="Courier New"/>
      </w:rPr>
    </w:lvl>
    <w:lvl w:ilvl="8" w:tentative="0">
      <w:start w:val="1"/>
      <w:numFmt w:val="bullet"/>
      <w:lvlText w:val=""/>
      <w:lvlJc w:val="left"/>
      <w:pPr>
        <w:ind w:left="7614" w:hanging="360"/>
      </w:pPr>
      <w:rPr>
        <w:rFonts w:hint="default" w:ascii="Wingdings" w:hAnsi="Wingdings"/>
      </w:rPr>
    </w:lvl>
  </w:abstractNum>
  <w:abstractNum w:abstractNumId="11">
    <w:nsid w:val="1B607992"/>
    <w:multiLevelType w:val="multilevel"/>
    <w:tmpl w:val="1B60799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0396CDA"/>
    <w:multiLevelType w:val="multilevel"/>
    <w:tmpl w:val="20396CDA"/>
    <w:lvl w:ilvl="0" w:tentative="0">
      <w:start w:val="1"/>
      <w:numFmt w:val="bullet"/>
      <w:pStyle w:val="28"/>
      <w:lvlText w:val=""/>
      <w:lvlJc w:val="left"/>
      <w:pPr>
        <w:ind w:left="1287" w:hanging="360"/>
      </w:pPr>
      <w:rPr>
        <w:rFonts w:hint="default" w:ascii="Symbol" w:hAnsi="Symbol"/>
      </w:rPr>
    </w:lvl>
    <w:lvl w:ilvl="1" w:tentative="0">
      <w:start w:val="1"/>
      <w:numFmt w:val="bullet"/>
      <w:lvlText w:val="o"/>
      <w:lvlJc w:val="left"/>
      <w:pPr>
        <w:ind w:left="2007" w:hanging="360"/>
      </w:pPr>
      <w:rPr>
        <w:rFonts w:hint="default" w:ascii="Courier New" w:hAnsi="Courier New" w:cs="Courier New"/>
      </w:rPr>
    </w:lvl>
    <w:lvl w:ilvl="2" w:tentative="0">
      <w:start w:val="1"/>
      <w:numFmt w:val="bullet"/>
      <w:lvlText w:val=""/>
      <w:lvlJc w:val="left"/>
      <w:pPr>
        <w:ind w:left="2727" w:hanging="360"/>
      </w:pPr>
      <w:rPr>
        <w:rFonts w:hint="default" w:ascii="Wingdings" w:hAnsi="Wingdings"/>
      </w:rPr>
    </w:lvl>
    <w:lvl w:ilvl="3" w:tentative="0">
      <w:start w:val="1"/>
      <w:numFmt w:val="bullet"/>
      <w:lvlText w:val=""/>
      <w:lvlJc w:val="left"/>
      <w:pPr>
        <w:ind w:left="3447" w:hanging="360"/>
      </w:pPr>
      <w:rPr>
        <w:rFonts w:hint="default" w:ascii="Symbol" w:hAnsi="Symbol"/>
      </w:rPr>
    </w:lvl>
    <w:lvl w:ilvl="4" w:tentative="0">
      <w:start w:val="1"/>
      <w:numFmt w:val="bullet"/>
      <w:lvlText w:val="o"/>
      <w:lvlJc w:val="left"/>
      <w:pPr>
        <w:ind w:left="4167" w:hanging="360"/>
      </w:pPr>
      <w:rPr>
        <w:rFonts w:hint="default" w:ascii="Courier New" w:hAnsi="Courier New" w:cs="Courier New"/>
      </w:rPr>
    </w:lvl>
    <w:lvl w:ilvl="5" w:tentative="0">
      <w:start w:val="1"/>
      <w:numFmt w:val="bullet"/>
      <w:lvlText w:val=""/>
      <w:lvlJc w:val="left"/>
      <w:pPr>
        <w:ind w:left="4887" w:hanging="360"/>
      </w:pPr>
      <w:rPr>
        <w:rFonts w:hint="default" w:ascii="Wingdings" w:hAnsi="Wingdings"/>
      </w:rPr>
    </w:lvl>
    <w:lvl w:ilvl="6" w:tentative="0">
      <w:start w:val="1"/>
      <w:numFmt w:val="bullet"/>
      <w:lvlText w:val=""/>
      <w:lvlJc w:val="left"/>
      <w:pPr>
        <w:ind w:left="5607" w:hanging="360"/>
      </w:pPr>
      <w:rPr>
        <w:rFonts w:hint="default" w:ascii="Symbol" w:hAnsi="Symbol"/>
      </w:rPr>
    </w:lvl>
    <w:lvl w:ilvl="7" w:tentative="0">
      <w:start w:val="1"/>
      <w:numFmt w:val="bullet"/>
      <w:lvlText w:val="o"/>
      <w:lvlJc w:val="left"/>
      <w:pPr>
        <w:ind w:left="6327" w:hanging="360"/>
      </w:pPr>
      <w:rPr>
        <w:rFonts w:hint="default" w:ascii="Courier New" w:hAnsi="Courier New" w:cs="Courier New"/>
      </w:rPr>
    </w:lvl>
    <w:lvl w:ilvl="8" w:tentative="0">
      <w:start w:val="1"/>
      <w:numFmt w:val="bullet"/>
      <w:lvlText w:val=""/>
      <w:lvlJc w:val="left"/>
      <w:pPr>
        <w:ind w:left="7047" w:hanging="360"/>
      </w:pPr>
      <w:rPr>
        <w:rFonts w:hint="default" w:ascii="Wingdings" w:hAnsi="Wingdings"/>
      </w:rPr>
    </w:lvl>
  </w:abstractNum>
  <w:abstractNum w:abstractNumId="13">
    <w:nsid w:val="275A7442"/>
    <w:multiLevelType w:val="multilevel"/>
    <w:tmpl w:val="275A7442"/>
    <w:lvl w:ilvl="0" w:tentative="0">
      <w:start w:val="1"/>
      <w:numFmt w:val="bullet"/>
      <w:pStyle w:val="27"/>
      <w:lvlText w:val=""/>
      <w:lvlJc w:val="left"/>
      <w:pPr>
        <w:ind w:left="1571" w:hanging="360"/>
      </w:pPr>
      <w:rPr>
        <w:rFonts w:hint="default" w:ascii="Symbol" w:hAnsi="Symbol"/>
      </w:rPr>
    </w:lvl>
    <w:lvl w:ilvl="1" w:tentative="0">
      <w:start w:val="1"/>
      <w:numFmt w:val="bullet"/>
      <w:lvlText w:val="o"/>
      <w:lvlJc w:val="left"/>
      <w:pPr>
        <w:ind w:left="2291" w:hanging="360"/>
      </w:pPr>
      <w:rPr>
        <w:rFonts w:hint="default" w:ascii="Courier New" w:hAnsi="Courier New" w:cs="Courier New"/>
      </w:rPr>
    </w:lvl>
    <w:lvl w:ilvl="2" w:tentative="0">
      <w:start w:val="1"/>
      <w:numFmt w:val="bullet"/>
      <w:lvlText w:val=""/>
      <w:lvlJc w:val="left"/>
      <w:pPr>
        <w:ind w:left="3011" w:hanging="360"/>
      </w:pPr>
      <w:rPr>
        <w:rFonts w:hint="default" w:ascii="Wingdings" w:hAnsi="Wingdings"/>
      </w:rPr>
    </w:lvl>
    <w:lvl w:ilvl="3" w:tentative="0">
      <w:start w:val="1"/>
      <w:numFmt w:val="bullet"/>
      <w:lvlText w:val=""/>
      <w:lvlJc w:val="left"/>
      <w:pPr>
        <w:ind w:left="3731" w:hanging="360"/>
      </w:pPr>
      <w:rPr>
        <w:rFonts w:hint="default" w:ascii="Symbol" w:hAnsi="Symbol"/>
      </w:rPr>
    </w:lvl>
    <w:lvl w:ilvl="4" w:tentative="0">
      <w:start w:val="1"/>
      <w:numFmt w:val="bullet"/>
      <w:lvlText w:val="o"/>
      <w:lvlJc w:val="left"/>
      <w:pPr>
        <w:ind w:left="4451" w:hanging="360"/>
      </w:pPr>
      <w:rPr>
        <w:rFonts w:hint="default" w:ascii="Courier New" w:hAnsi="Courier New" w:cs="Courier New"/>
      </w:rPr>
    </w:lvl>
    <w:lvl w:ilvl="5" w:tentative="0">
      <w:start w:val="1"/>
      <w:numFmt w:val="bullet"/>
      <w:lvlText w:val=""/>
      <w:lvlJc w:val="left"/>
      <w:pPr>
        <w:ind w:left="5171" w:hanging="360"/>
      </w:pPr>
      <w:rPr>
        <w:rFonts w:hint="default" w:ascii="Wingdings" w:hAnsi="Wingdings"/>
      </w:rPr>
    </w:lvl>
    <w:lvl w:ilvl="6" w:tentative="0">
      <w:start w:val="1"/>
      <w:numFmt w:val="bullet"/>
      <w:lvlText w:val=""/>
      <w:lvlJc w:val="left"/>
      <w:pPr>
        <w:ind w:left="5891" w:hanging="360"/>
      </w:pPr>
      <w:rPr>
        <w:rFonts w:hint="default" w:ascii="Symbol" w:hAnsi="Symbol"/>
      </w:rPr>
    </w:lvl>
    <w:lvl w:ilvl="7" w:tentative="0">
      <w:start w:val="1"/>
      <w:numFmt w:val="bullet"/>
      <w:lvlText w:val="o"/>
      <w:lvlJc w:val="left"/>
      <w:pPr>
        <w:ind w:left="6611" w:hanging="360"/>
      </w:pPr>
      <w:rPr>
        <w:rFonts w:hint="default" w:ascii="Courier New" w:hAnsi="Courier New" w:cs="Courier New"/>
      </w:rPr>
    </w:lvl>
    <w:lvl w:ilvl="8" w:tentative="0">
      <w:start w:val="1"/>
      <w:numFmt w:val="bullet"/>
      <w:lvlText w:val=""/>
      <w:lvlJc w:val="left"/>
      <w:pPr>
        <w:ind w:left="7331" w:hanging="360"/>
      </w:pPr>
      <w:rPr>
        <w:rFonts w:hint="default" w:ascii="Wingdings" w:hAnsi="Wingdings"/>
      </w:rPr>
    </w:lvl>
  </w:abstractNum>
  <w:abstractNum w:abstractNumId="14">
    <w:nsid w:val="33EA44FF"/>
    <w:multiLevelType w:val="multilevel"/>
    <w:tmpl w:val="33EA44FF"/>
    <w:lvl w:ilvl="0" w:tentative="0">
      <w:start w:val="1"/>
      <w:numFmt w:val="decimal"/>
      <w:pStyle w:val="25"/>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15">
    <w:nsid w:val="35566400"/>
    <w:multiLevelType w:val="multilevel"/>
    <w:tmpl w:val="355664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3AA46647"/>
    <w:multiLevelType w:val="multilevel"/>
    <w:tmpl w:val="3AA46647"/>
    <w:lvl w:ilvl="0" w:tentative="0">
      <w:start w:val="1"/>
      <w:numFmt w:val="decimal"/>
      <w:pStyle w:val="90"/>
      <w:lvlText w:val="Proposal %1"/>
      <w:lvlJc w:val="left"/>
      <w:pPr>
        <w:tabs>
          <w:tab w:val="left" w:pos="1304"/>
        </w:tabs>
        <w:ind w:left="1304" w:hanging="1304"/>
      </w:pPr>
      <w:rPr>
        <w:rFonts w:hint="default"/>
        <w:b/>
        <w:bCs/>
      </w:rPr>
    </w:lvl>
    <w:lvl w:ilvl="1" w:tentative="0">
      <w:start w:val="1"/>
      <w:numFmt w:val="decimal"/>
      <w:lvlText w:val="%2"/>
      <w:lvlJc w:val="left"/>
      <w:pPr>
        <w:ind w:left="1440" w:hanging="360"/>
      </w:pPr>
      <w:rPr>
        <w:rFonts w:hint="default"/>
      </w:r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7">
    <w:nsid w:val="4BDF65F6"/>
    <w:multiLevelType w:val="multilevel"/>
    <w:tmpl w:val="4BDF65F6"/>
    <w:lvl w:ilvl="0" w:tentative="0">
      <w:start w:val="1"/>
      <w:numFmt w:val="decimal"/>
      <w:pStyle w:val="81"/>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8">
    <w:nsid w:val="5101505E"/>
    <w:multiLevelType w:val="multilevel"/>
    <w:tmpl w:val="5101505E"/>
    <w:lvl w:ilvl="0" w:tentative="0">
      <w:start w:val="1"/>
      <w:numFmt w:val="decimal"/>
      <w:pStyle w:val="113"/>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
    <w:nsid w:val="521F44A7"/>
    <w:multiLevelType w:val="multilevel"/>
    <w:tmpl w:val="521F44A7"/>
    <w:lvl w:ilvl="0" w:tentative="0">
      <w:start w:val="1"/>
      <w:numFmt w:val="bullet"/>
      <w:pStyle w:val="130"/>
      <w:lvlText w:val=""/>
      <w:lvlJc w:val="left"/>
      <w:pPr>
        <w:tabs>
          <w:tab w:val="left" w:pos="1619"/>
        </w:tabs>
        <w:ind w:left="1619" w:hanging="360"/>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0">
    <w:nsid w:val="5AC54547"/>
    <w:multiLevelType w:val="singleLevel"/>
    <w:tmpl w:val="5AC54547"/>
    <w:lvl w:ilvl="0" w:tentative="0">
      <w:start w:val="1"/>
      <w:numFmt w:val="bullet"/>
      <w:lvlText w:val=""/>
      <w:lvlJc w:val="left"/>
      <w:pPr>
        <w:ind w:left="420" w:hanging="420"/>
      </w:pPr>
      <w:rPr>
        <w:rFonts w:hint="default" w:ascii="Wingdings" w:hAnsi="Wingdings"/>
      </w:rPr>
    </w:lvl>
  </w:abstractNum>
  <w:abstractNum w:abstractNumId="21">
    <w:nsid w:val="5BDE1D10"/>
    <w:multiLevelType w:val="multilevel"/>
    <w:tmpl w:val="5BDE1D10"/>
    <w:lvl w:ilvl="0" w:tentative="0">
      <w:start w:val="1"/>
      <w:numFmt w:val="bullet"/>
      <w:pStyle w:val="29"/>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22">
    <w:nsid w:val="5E8FDBB3"/>
    <w:multiLevelType w:val="multilevel"/>
    <w:tmpl w:val="5E8FDBB3"/>
    <w:lvl w:ilvl="0" w:tentative="0">
      <w:start w:val="1"/>
      <w:numFmt w:val="decimal"/>
      <w:lvlText w:val="%1"/>
      <w:lvlJc w:val="left"/>
    </w:lvl>
    <w:lvl w:ilvl="1" w:tentative="0">
      <w:start w:val="1"/>
      <w:numFmt w:val="decimal"/>
      <w:lvlText w:val="%1.%2"/>
      <w:lvlJc w:val="left"/>
      <w:pPr>
        <w:tabs>
          <w:tab w:val="left" w:pos="312"/>
        </w:tabs>
        <w:ind w:left="0" w:firstLine="0"/>
      </w:pPr>
      <w:rPr>
        <w:rFonts w:hint="default"/>
      </w:rPr>
    </w:lvl>
    <w:lvl w:ilvl="2" w:tentative="0">
      <w:start w:val="1"/>
      <w:numFmt w:val="decimal"/>
      <w:lvlText w:val="%1.%2.%3"/>
      <w:lvlJc w:val="left"/>
      <w:pPr>
        <w:tabs>
          <w:tab w:val="left" w:pos="312"/>
        </w:tabs>
        <w:ind w:left="0" w:firstLine="0"/>
      </w:pPr>
      <w:rPr>
        <w:rFonts w:hint="default"/>
      </w:rPr>
    </w:lvl>
    <w:lvl w:ilvl="3" w:tentative="0">
      <w:start w:val="1"/>
      <w:numFmt w:val="decimal"/>
      <w:lvlText w:val="%1.%2.%3.%4"/>
      <w:lvlJc w:val="left"/>
      <w:pPr>
        <w:tabs>
          <w:tab w:val="left" w:pos="312"/>
        </w:tabs>
        <w:ind w:left="0" w:firstLine="0"/>
      </w:pPr>
      <w:rPr>
        <w:rFonts w:hint="default"/>
      </w:rPr>
    </w:lvl>
    <w:lvl w:ilvl="4" w:tentative="0">
      <w:start w:val="1"/>
      <w:numFmt w:val="decimal"/>
      <w:lvlText w:val="%1.%2.%3.%4.%5"/>
      <w:lvlJc w:val="left"/>
      <w:pPr>
        <w:tabs>
          <w:tab w:val="left" w:pos="312"/>
        </w:tabs>
        <w:ind w:left="0" w:firstLine="0"/>
      </w:pPr>
      <w:rPr>
        <w:rFonts w:hint="default"/>
      </w:rPr>
    </w:lvl>
    <w:lvl w:ilvl="5" w:tentative="0">
      <w:start w:val="1"/>
      <w:numFmt w:val="decimal"/>
      <w:lvlText w:val="%1.%2.%3.%4.%5.%6"/>
      <w:lvlJc w:val="left"/>
      <w:pPr>
        <w:tabs>
          <w:tab w:val="left" w:pos="312"/>
        </w:tabs>
        <w:ind w:left="0" w:firstLine="0"/>
      </w:pPr>
      <w:rPr>
        <w:rFonts w:hint="default"/>
      </w:rPr>
    </w:lvl>
    <w:lvl w:ilvl="6" w:tentative="0">
      <w:start w:val="1"/>
      <w:numFmt w:val="decimal"/>
      <w:lvlText w:val="%1.%2.%3.%4.%5.%6.%7"/>
      <w:lvlJc w:val="left"/>
      <w:pPr>
        <w:tabs>
          <w:tab w:val="left" w:pos="312"/>
        </w:tabs>
        <w:ind w:left="0" w:firstLine="0"/>
      </w:pPr>
      <w:rPr>
        <w:rFonts w:hint="default"/>
      </w:rPr>
    </w:lvl>
    <w:lvl w:ilvl="7" w:tentative="0">
      <w:start w:val="1"/>
      <w:numFmt w:val="decimal"/>
      <w:lvlText w:val="%1.%2.%3.%4.%5.%6.%7.%8"/>
      <w:lvlJc w:val="left"/>
      <w:pPr>
        <w:tabs>
          <w:tab w:val="left" w:pos="312"/>
        </w:tabs>
        <w:ind w:left="0" w:firstLine="0"/>
      </w:pPr>
      <w:rPr>
        <w:rFonts w:hint="default"/>
      </w:rPr>
    </w:lvl>
    <w:lvl w:ilvl="8" w:tentative="0">
      <w:start w:val="1"/>
      <w:numFmt w:val="decimal"/>
      <w:lvlText w:val="%1.%2.%3.%4.%5.%6.%7.%8.%9"/>
      <w:lvlJc w:val="left"/>
      <w:pPr>
        <w:tabs>
          <w:tab w:val="left" w:pos="312"/>
        </w:tabs>
        <w:ind w:left="0" w:firstLine="0"/>
      </w:pPr>
      <w:rPr>
        <w:rFonts w:hint="default"/>
      </w:rPr>
    </w:lvl>
  </w:abstractNum>
  <w:abstractNum w:abstractNumId="23">
    <w:nsid w:val="63A12AEF"/>
    <w:multiLevelType w:val="singleLevel"/>
    <w:tmpl w:val="63A12AEF"/>
    <w:lvl w:ilvl="0" w:tentative="0">
      <w:start w:val="1"/>
      <w:numFmt w:val="bullet"/>
      <w:lvlText w:val=""/>
      <w:lvlJc w:val="left"/>
      <w:pPr>
        <w:ind w:left="420" w:hanging="420"/>
      </w:pPr>
      <w:rPr>
        <w:rFonts w:hint="default" w:ascii="Wingdings" w:hAnsi="Wingdings"/>
      </w:rPr>
    </w:lvl>
  </w:abstractNum>
  <w:abstractNum w:abstractNumId="24">
    <w:nsid w:val="6E4C234E"/>
    <w:multiLevelType w:val="multilevel"/>
    <w:tmpl w:val="6E4C234E"/>
    <w:lvl w:ilvl="0" w:tentative="0">
      <w:start w:val="1"/>
      <w:numFmt w:val="lowerLetter"/>
      <w:pStyle w:val="24"/>
      <w:lvlText w:val="%1."/>
      <w:lvlJc w:val="left"/>
      <w:pPr>
        <w:ind w:left="1287" w:hanging="360"/>
      </w:pPr>
    </w:lvl>
    <w:lvl w:ilvl="1" w:tentative="0">
      <w:start w:val="1"/>
      <w:numFmt w:val="lowerLetter"/>
      <w:lvlText w:val="%2."/>
      <w:lvlJc w:val="left"/>
      <w:pPr>
        <w:ind w:left="2007" w:hanging="360"/>
      </w:pPr>
    </w:lvl>
    <w:lvl w:ilvl="2" w:tentative="0">
      <w:start w:val="1"/>
      <w:numFmt w:val="lowerRoman"/>
      <w:lvlText w:val="%3."/>
      <w:lvlJc w:val="right"/>
      <w:pPr>
        <w:ind w:left="2727" w:hanging="180"/>
      </w:pPr>
    </w:lvl>
    <w:lvl w:ilvl="3" w:tentative="0">
      <w:start w:val="1"/>
      <w:numFmt w:val="decimal"/>
      <w:lvlText w:val="%4."/>
      <w:lvlJc w:val="left"/>
      <w:pPr>
        <w:ind w:left="3447" w:hanging="360"/>
      </w:pPr>
    </w:lvl>
    <w:lvl w:ilvl="4" w:tentative="0">
      <w:start w:val="1"/>
      <w:numFmt w:val="lowerLetter"/>
      <w:lvlText w:val="%5."/>
      <w:lvlJc w:val="left"/>
      <w:pPr>
        <w:ind w:left="4167" w:hanging="360"/>
      </w:pPr>
    </w:lvl>
    <w:lvl w:ilvl="5" w:tentative="0">
      <w:start w:val="1"/>
      <w:numFmt w:val="lowerRoman"/>
      <w:lvlText w:val="%6."/>
      <w:lvlJc w:val="right"/>
      <w:pPr>
        <w:ind w:left="4887" w:hanging="180"/>
      </w:pPr>
    </w:lvl>
    <w:lvl w:ilvl="6" w:tentative="0">
      <w:start w:val="1"/>
      <w:numFmt w:val="decimal"/>
      <w:lvlText w:val="%7."/>
      <w:lvlJc w:val="left"/>
      <w:pPr>
        <w:ind w:left="5607" w:hanging="360"/>
      </w:pPr>
    </w:lvl>
    <w:lvl w:ilvl="7" w:tentative="0">
      <w:start w:val="1"/>
      <w:numFmt w:val="lowerLetter"/>
      <w:lvlText w:val="%8."/>
      <w:lvlJc w:val="left"/>
      <w:pPr>
        <w:ind w:left="6327" w:hanging="360"/>
      </w:pPr>
    </w:lvl>
    <w:lvl w:ilvl="8" w:tentative="0">
      <w:start w:val="1"/>
      <w:numFmt w:val="lowerRoman"/>
      <w:lvlText w:val="%9."/>
      <w:lvlJc w:val="right"/>
      <w:pPr>
        <w:ind w:left="7047" w:hanging="180"/>
      </w:pPr>
    </w:lvl>
  </w:abstractNum>
  <w:abstractNum w:abstractNumId="25">
    <w:nsid w:val="74FF1CEA"/>
    <w:multiLevelType w:val="multilevel"/>
    <w:tmpl w:val="74FF1CEA"/>
    <w:lvl w:ilvl="0" w:tentative="0">
      <w:start w:val="1"/>
      <w:numFmt w:val="bullet"/>
      <w:pStyle w:val="37"/>
      <w:lvlText w:val=""/>
      <w:lvlJc w:val="left"/>
      <w:pPr>
        <w:ind w:left="2138" w:hanging="360"/>
      </w:pPr>
      <w:rPr>
        <w:rFonts w:hint="default" w:ascii="Symbol" w:hAnsi="Symbol"/>
      </w:rPr>
    </w:lvl>
    <w:lvl w:ilvl="1" w:tentative="0">
      <w:start w:val="1"/>
      <w:numFmt w:val="bullet"/>
      <w:lvlText w:val="o"/>
      <w:lvlJc w:val="left"/>
      <w:pPr>
        <w:ind w:left="2858" w:hanging="360"/>
      </w:pPr>
      <w:rPr>
        <w:rFonts w:hint="default" w:ascii="Courier New" w:hAnsi="Courier New" w:cs="Courier New"/>
      </w:rPr>
    </w:lvl>
    <w:lvl w:ilvl="2" w:tentative="0">
      <w:start w:val="1"/>
      <w:numFmt w:val="bullet"/>
      <w:lvlText w:val=""/>
      <w:lvlJc w:val="left"/>
      <w:pPr>
        <w:ind w:left="3578" w:hanging="360"/>
      </w:pPr>
      <w:rPr>
        <w:rFonts w:hint="default" w:ascii="Wingdings" w:hAnsi="Wingdings"/>
      </w:rPr>
    </w:lvl>
    <w:lvl w:ilvl="3" w:tentative="0">
      <w:start w:val="1"/>
      <w:numFmt w:val="bullet"/>
      <w:lvlText w:val=""/>
      <w:lvlJc w:val="left"/>
      <w:pPr>
        <w:ind w:left="4298" w:hanging="360"/>
      </w:pPr>
      <w:rPr>
        <w:rFonts w:hint="default" w:ascii="Symbol" w:hAnsi="Symbol"/>
      </w:rPr>
    </w:lvl>
    <w:lvl w:ilvl="4" w:tentative="0">
      <w:start w:val="1"/>
      <w:numFmt w:val="bullet"/>
      <w:lvlText w:val="o"/>
      <w:lvlJc w:val="left"/>
      <w:pPr>
        <w:ind w:left="5018" w:hanging="360"/>
      </w:pPr>
      <w:rPr>
        <w:rFonts w:hint="default" w:ascii="Courier New" w:hAnsi="Courier New" w:cs="Courier New"/>
      </w:rPr>
    </w:lvl>
    <w:lvl w:ilvl="5" w:tentative="0">
      <w:start w:val="1"/>
      <w:numFmt w:val="bullet"/>
      <w:lvlText w:val=""/>
      <w:lvlJc w:val="left"/>
      <w:pPr>
        <w:ind w:left="5738" w:hanging="360"/>
      </w:pPr>
      <w:rPr>
        <w:rFonts w:hint="default" w:ascii="Wingdings" w:hAnsi="Wingdings"/>
      </w:rPr>
    </w:lvl>
    <w:lvl w:ilvl="6" w:tentative="0">
      <w:start w:val="1"/>
      <w:numFmt w:val="bullet"/>
      <w:lvlText w:val=""/>
      <w:lvlJc w:val="left"/>
      <w:pPr>
        <w:ind w:left="6458" w:hanging="360"/>
      </w:pPr>
      <w:rPr>
        <w:rFonts w:hint="default" w:ascii="Symbol" w:hAnsi="Symbol"/>
      </w:rPr>
    </w:lvl>
    <w:lvl w:ilvl="7" w:tentative="0">
      <w:start w:val="1"/>
      <w:numFmt w:val="bullet"/>
      <w:lvlText w:val="o"/>
      <w:lvlJc w:val="left"/>
      <w:pPr>
        <w:ind w:left="7178" w:hanging="360"/>
      </w:pPr>
      <w:rPr>
        <w:rFonts w:hint="default" w:ascii="Courier New" w:hAnsi="Courier New" w:cs="Courier New"/>
      </w:rPr>
    </w:lvl>
    <w:lvl w:ilvl="8" w:tentative="0">
      <w:start w:val="1"/>
      <w:numFmt w:val="bullet"/>
      <w:lvlText w:val=""/>
      <w:lvlJc w:val="left"/>
      <w:pPr>
        <w:ind w:left="7898" w:hanging="360"/>
      </w:pPr>
      <w:rPr>
        <w:rFonts w:hint="default" w:ascii="Wingdings" w:hAnsi="Wingdings"/>
      </w:rPr>
    </w:lvl>
  </w:abstractNum>
  <w:abstractNum w:abstractNumId="26">
    <w:nsid w:val="7519114B"/>
    <w:multiLevelType w:val="multilevel"/>
    <w:tmpl w:val="7519114B"/>
    <w:lvl w:ilvl="0" w:tentative="0">
      <w:start w:val="1"/>
      <w:numFmt w:val="decimal"/>
      <w:lvlText w:val="(%1)"/>
      <w:lvlJc w:val="left"/>
      <w:pPr>
        <w:ind w:left="720" w:hanging="360"/>
      </w:pPr>
      <w:rPr>
        <w:rFonts w:hint="default" w:eastAsia="宋体"/>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24"/>
  </w:num>
  <w:num w:numId="2">
    <w:abstractNumId w:val="14"/>
  </w:num>
  <w:num w:numId="3">
    <w:abstractNumId w:val="10"/>
  </w:num>
  <w:num w:numId="4">
    <w:abstractNumId w:val="13"/>
  </w:num>
  <w:num w:numId="5">
    <w:abstractNumId w:val="12"/>
  </w:num>
  <w:num w:numId="6">
    <w:abstractNumId w:val="21"/>
  </w:num>
  <w:num w:numId="7">
    <w:abstractNumId w:val="5"/>
  </w:num>
  <w:num w:numId="8">
    <w:abstractNumId w:val="25"/>
  </w:num>
  <w:num w:numId="9">
    <w:abstractNumId w:val="17"/>
  </w:num>
  <w:num w:numId="10">
    <w:abstractNumId w:val="16"/>
  </w:num>
  <w:num w:numId="11">
    <w:abstractNumId w:val="18"/>
  </w:num>
  <w:num w:numId="12">
    <w:abstractNumId w:val="19"/>
  </w:num>
  <w:num w:numId="13">
    <w:abstractNumId w:val="22"/>
  </w:num>
  <w:num w:numId="14">
    <w:abstractNumId w:val="15"/>
  </w:num>
  <w:num w:numId="15">
    <w:abstractNumId w:val="20"/>
  </w:num>
  <w:num w:numId="16">
    <w:abstractNumId w:val="2"/>
  </w:num>
  <w:num w:numId="17">
    <w:abstractNumId w:val="8"/>
  </w:num>
  <w:num w:numId="18">
    <w:abstractNumId w:val="9"/>
  </w:num>
  <w:num w:numId="19">
    <w:abstractNumId w:val="4"/>
  </w:num>
  <w:num w:numId="20">
    <w:abstractNumId w:val="23"/>
  </w:num>
  <w:num w:numId="21">
    <w:abstractNumId w:val="1"/>
  </w:num>
  <w:num w:numId="22">
    <w:abstractNumId w:val="3"/>
  </w:num>
  <w:num w:numId="23">
    <w:abstractNumId w:val="11"/>
  </w:num>
  <w:num w:numId="24">
    <w:abstractNumId w:val="6"/>
  </w:num>
  <w:num w:numId="25">
    <w:abstractNumId w:val="0"/>
  </w:num>
  <w:num w:numId="26">
    <w:abstractNumId w:val="26"/>
  </w:num>
  <w:num w:numId="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documentProtection w:enforcement="0"/>
  <w:defaultTabStop w:val="720"/>
  <w:hyphenationZone w:val="425"/>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2C71"/>
    <w:rsid w:val="0000021E"/>
    <w:rsid w:val="000003FD"/>
    <w:rsid w:val="0000080F"/>
    <w:rsid w:val="000009D5"/>
    <w:rsid w:val="00001030"/>
    <w:rsid w:val="00002B3C"/>
    <w:rsid w:val="0000301E"/>
    <w:rsid w:val="0000358D"/>
    <w:rsid w:val="00003695"/>
    <w:rsid w:val="000036D8"/>
    <w:rsid w:val="000037DF"/>
    <w:rsid w:val="00003821"/>
    <w:rsid w:val="00003FD9"/>
    <w:rsid w:val="00004C64"/>
    <w:rsid w:val="00005CAB"/>
    <w:rsid w:val="00005D10"/>
    <w:rsid w:val="00005E27"/>
    <w:rsid w:val="00006261"/>
    <w:rsid w:val="00006BF2"/>
    <w:rsid w:val="00007241"/>
    <w:rsid w:val="000072A6"/>
    <w:rsid w:val="000073DA"/>
    <w:rsid w:val="00007656"/>
    <w:rsid w:val="00007881"/>
    <w:rsid w:val="00007AB6"/>
    <w:rsid w:val="00007D49"/>
    <w:rsid w:val="000100B5"/>
    <w:rsid w:val="0001022C"/>
    <w:rsid w:val="00010C28"/>
    <w:rsid w:val="000114CC"/>
    <w:rsid w:val="00011EA6"/>
    <w:rsid w:val="00011F30"/>
    <w:rsid w:val="00012059"/>
    <w:rsid w:val="000120D5"/>
    <w:rsid w:val="000126C8"/>
    <w:rsid w:val="00012953"/>
    <w:rsid w:val="000129C1"/>
    <w:rsid w:val="00012BB6"/>
    <w:rsid w:val="000134B8"/>
    <w:rsid w:val="0001364D"/>
    <w:rsid w:val="000136B4"/>
    <w:rsid w:val="00013778"/>
    <w:rsid w:val="000138A9"/>
    <w:rsid w:val="00013A89"/>
    <w:rsid w:val="00013D1B"/>
    <w:rsid w:val="00013D7D"/>
    <w:rsid w:val="00013F9B"/>
    <w:rsid w:val="00013FE2"/>
    <w:rsid w:val="00014065"/>
    <w:rsid w:val="00014516"/>
    <w:rsid w:val="000152BA"/>
    <w:rsid w:val="0001625B"/>
    <w:rsid w:val="00016596"/>
    <w:rsid w:val="000168B6"/>
    <w:rsid w:val="00016BD9"/>
    <w:rsid w:val="00017019"/>
    <w:rsid w:val="00017022"/>
    <w:rsid w:val="00017B8B"/>
    <w:rsid w:val="000206AE"/>
    <w:rsid w:val="000206E0"/>
    <w:rsid w:val="0002114E"/>
    <w:rsid w:val="000212D0"/>
    <w:rsid w:val="000215DC"/>
    <w:rsid w:val="00021695"/>
    <w:rsid w:val="00021847"/>
    <w:rsid w:val="00021B75"/>
    <w:rsid w:val="0002205C"/>
    <w:rsid w:val="0002212C"/>
    <w:rsid w:val="0002258F"/>
    <w:rsid w:val="00022603"/>
    <w:rsid w:val="0002274E"/>
    <w:rsid w:val="00022D7F"/>
    <w:rsid w:val="00023296"/>
    <w:rsid w:val="00023508"/>
    <w:rsid w:val="00023A37"/>
    <w:rsid w:val="00023E7D"/>
    <w:rsid w:val="00023EEE"/>
    <w:rsid w:val="000241A3"/>
    <w:rsid w:val="000247BF"/>
    <w:rsid w:val="00024B72"/>
    <w:rsid w:val="00024CF6"/>
    <w:rsid w:val="000250D1"/>
    <w:rsid w:val="000254AD"/>
    <w:rsid w:val="000256F8"/>
    <w:rsid w:val="000258B9"/>
    <w:rsid w:val="00026AC8"/>
    <w:rsid w:val="00026AFC"/>
    <w:rsid w:val="00026CBD"/>
    <w:rsid w:val="00026DE2"/>
    <w:rsid w:val="00027554"/>
    <w:rsid w:val="00027A47"/>
    <w:rsid w:val="00027A55"/>
    <w:rsid w:val="00027C85"/>
    <w:rsid w:val="00030133"/>
    <w:rsid w:val="00031170"/>
    <w:rsid w:val="00031271"/>
    <w:rsid w:val="0003145C"/>
    <w:rsid w:val="0003182A"/>
    <w:rsid w:val="0003239F"/>
    <w:rsid w:val="00032638"/>
    <w:rsid w:val="00032732"/>
    <w:rsid w:val="00032EE5"/>
    <w:rsid w:val="000331C0"/>
    <w:rsid w:val="000338A9"/>
    <w:rsid w:val="000338B7"/>
    <w:rsid w:val="00033D49"/>
    <w:rsid w:val="000343A3"/>
    <w:rsid w:val="000343C5"/>
    <w:rsid w:val="000347C2"/>
    <w:rsid w:val="000352C0"/>
    <w:rsid w:val="00035313"/>
    <w:rsid w:val="00035354"/>
    <w:rsid w:val="000353DD"/>
    <w:rsid w:val="000353F4"/>
    <w:rsid w:val="0003542C"/>
    <w:rsid w:val="000355E1"/>
    <w:rsid w:val="000357EF"/>
    <w:rsid w:val="00035B82"/>
    <w:rsid w:val="00035E3E"/>
    <w:rsid w:val="00035FD1"/>
    <w:rsid w:val="00036070"/>
    <w:rsid w:val="00036098"/>
    <w:rsid w:val="0003620E"/>
    <w:rsid w:val="00036541"/>
    <w:rsid w:val="000368B0"/>
    <w:rsid w:val="00036974"/>
    <w:rsid w:val="00036A5E"/>
    <w:rsid w:val="00036E9F"/>
    <w:rsid w:val="00037093"/>
    <w:rsid w:val="0003711D"/>
    <w:rsid w:val="00037167"/>
    <w:rsid w:val="00037680"/>
    <w:rsid w:val="0003788E"/>
    <w:rsid w:val="00037981"/>
    <w:rsid w:val="00037F73"/>
    <w:rsid w:val="0004024C"/>
    <w:rsid w:val="000407E8"/>
    <w:rsid w:val="00040CF6"/>
    <w:rsid w:val="000411DE"/>
    <w:rsid w:val="000415D8"/>
    <w:rsid w:val="00041858"/>
    <w:rsid w:val="00041DE7"/>
    <w:rsid w:val="00041E49"/>
    <w:rsid w:val="00042285"/>
    <w:rsid w:val="000425E1"/>
    <w:rsid w:val="00042B51"/>
    <w:rsid w:val="00042C6F"/>
    <w:rsid w:val="00043321"/>
    <w:rsid w:val="000437A2"/>
    <w:rsid w:val="000437BA"/>
    <w:rsid w:val="00044521"/>
    <w:rsid w:val="0004465D"/>
    <w:rsid w:val="00044699"/>
    <w:rsid w:val="00044E9D"/>
    <w:rsid w:val="00044F01"/>
    <w:rsid w:val="000455F9"/>
    <w:rsid w:val="00045D1C"/>
    <w:rsid w:val="000462A6"/>
    <w:rsid w:val="00046D77"/>
    <w:rsid w:val="00046DFB"/>
    <w:rsid w:val="00047F56"/>
    <w:rsid w:val="000508C5"/>
    <w:rsid w:val="00050FBE"/>
    <w:rsid w:val="00051164"/>
    <w:rsid w:val="000513CD"/>
    <w:rsid w:val="0005168C"/>
    <w:rsid w:val="000516D0"/>
    <w:rsid w:val="00051721"/>
    <w:rsid w:val="00051771"/>
    <w:rsid w:val="000519E3"/>
    <w:rsid w:val="00051C27"/>
    <w:rsid w:val="00051F50"/>
    <w:rsid w:val="000521F3"/>
    <w:rsid w:val="00052327"/>
    <w:rsid w:val="00052743"/>
    <w:rsid w:val="0005295A"/>
    <w:rsid w:val="0005328E"/>
    <w:rsid w:val="000534A8"/>
    <w:rsid w:val="000534C9"/>
    <w:rsid w:val="00053502"/>
    <w:rsid w:val="0005399C"/>
    <w:rsid w:val="00053EAA"/>
    <w:rsid w:val="00054241"/>
    <w:rsid w:val="0005431E"/>
    <w:rsid w:val="00054DB7"/>
    <w:rsid w:val="00055328"/>
    <w:rsid w:val="00055A9D"/>
    <w:rsid w:val="00055CA6"/>
    <w:rsid w:val="00055F8A"/>
    <w:rsid w:val="00056033"/>
    <w:rsid w:val="000565AA"/>
    <w:rsid w:val="00057002"/>
    <w:rsid w:val="000570BF"/>
    <w:rsid w:val="000575F9"/>
    <w:rsid w:val="00057ABF"/>
    <w:rsid w:val="00061433"/>
    <w:rsid w:val="000614A9"/>
    <w:rsid w:val="000619AB"/>
    <w:rsid w:val="0006241C"/>
    <w:rsid w:val="000624A4"/>
    <w:rsid w:val="000624B1"/>
    <w:rsid w:val="000624CA"/>
    <w:rsid w:val="00062625"/>
    <w:rsid w:val="00062C20"/>
    <w:rsid w:val="00062EBC"/>
    <w:rsid w:val="00063058"/>
    <w:rsid w:val="0006448C"/>
    <w:rsid w:val="00064621"/>
    <w:rsid w:val="00064B79"/>
    <w:rsid w:val="00065779"/>
    <w:rsid w:val="00065DA0"/>
    <w:rsid w:val="00066554"/>
    <w:rsid w:val="000666C5"/>
    <w:rsid w:val="00066957"/>
    <w:rsid w:val="00067830"/>
    <w:rsid w:val="00067903"/>
    <w:rsid w:val="00067FF7"/>
    <w:rsid w:val="000708B4"/>
    <w:rsid w:val="000708E3"/>
    <w:rsid w:val="000710BE"/>
    <w:rsid w:val="0007188B"/>
    <w:rsid w:val="00071BB9"/>
    <w:rsid w:val="00071FE9"/>
    <w:rsid w:val="00072047"/>
    <w:rsid w:val="00072242"/>
    <w:rsid w:val="0007224E"/>
    <w:rsid w:val="000722A6"/>
    <w:rsid w:val="000723F2"/>
    <w:rsid w:val="0007251C"/>
    <w:rsid w:val="00072859"/>
    <w:rsid w:val="00072883"/>
    <w:rsid w:val="000728BA"/>
    <w:rsid w:val="00073051"/>
    <w:rsid w:val="000736A9"/>
    <w:rsid w:val="000739DB"/>
    <w:rsid w:val="00073E97"/>
    <w:rsid w:val="00073F6C"/>
    <w:rsid w:val="0007409E"/>
    <w:rsid w:val="000744F6"/>
    <w:rsid w:val="00074594"/>
    <w:rsid w:val="000748F5"/>
    <w:rsid w:val="00074A24"/>
    <w:rsid w:val="00074C9F"/>
    <w:rsid w:val="000754FF"/>
    <w:rsid w:val="00076348"/>
    <w:rsid w:val="000763FF"/>
    <w:rsid w:val="000764EF"/>
    <w:rsid w:val="000765A3"/>
    <w:rsid w:val="00080139"/>
    <w:rsid w:val="00080547"/>
    <w:rsid w:val="000805E9"/>
    <w:rsid w:val="0008070E"/>
    <w:rsid w:val="00080F33"/>
    <w:rsid w:val="00081080"/>
    <w:rsid w:val="00081097"/>
    <w:rsid w:val="000810D0"/>
    <w:rsid w:val="0008112C"/>
    <w:rsid w:val="000816D1"/>
    <w:rsid w:val="00081C85"/>
    <w:rsid w:val="00081E68"/>
    <w:rsid w:val="00082124"/>
    <w:rsid w:val="00082207"/>
    <w:rsid w:val="000829F3"/>
    <w:rsid w:val="00082BCA"/>
    <w:rsid w:val="00082BD4"/>
    <w:rsid w:val="00082D57"/>
    <w:rsid w:val="00083684"/>
    <w:rsid w:val="000836D2"/>
    <w:rsid w:val="00083CD3"/>
    <w:rsid w:val="00084587"/>
    <w:rsid w:val="00084613"/>
    <w:rsid w:val="00084D39"/>
    <w:rsid w:val="00084E7D"/>
    <w:rsid w:val="0008555E"/>
    <w:rsid w:val="000862C5"/>
    <w:rsid w:val="000865BE"/>
    <w:rsid w:val="0008665B"/>
    <w:rsid w:val="000866F4"/>
    <w:rsid w:val="00086C21"/>
    <w:rsid w:val="00086DC6"/>
    <w:rsid w:val="00086F66"/>
    <w:rsid w:val="000874F0"/>
    <w:rsid w:val="00087609"/>
    <w:rsid w:val="0008785C"/>
    <w:rsid w:val="0008791B"/>
    <w:rsid w:val="00087BE7"/>
    <w:rsid w:val="00090064"/>
    <w:rsid w:val="0009072A"/>
    <w:rsid w:val="00090883"/>
    <w:rsid w:val="000909B8"/>
    <w:rsid w:val="0009114F"/>
    <w:rsid w:val="000913A6"/>
    <w:rsid w:val="00091405"/>
    <w:rsid w:val="00091C59"/>
    <w:rsid w:val="00091E7B"/>
    <w:rsid w:val="00092C92"/>
    <w:rsid w:val="0009308D"/>
    <w:rsid w:val="000932E6"/>
    <w:rsid w:val="0009391F"/>
    <w:rsid w:val="00093959"/>
    <w:rsid w:val="00093C77"/>
    <w:rsid w:val="00095377"/>
    <w:rsid w:val="0009541B"/>
    <w:rsid w:val="00095634"/>
    <w:rsid w:val="00095ABE"/>
    <w:rsid w:val="000964CF"/>
    <w:rsid w:val="00096C95"/>
    <w:rsid w:val="0009717D"/>
    <w:rsid w:val="000A0502"/>
    <w:rsid w:val="000A0543"/>
    <w:rsid w:val="000A0562"/>
    <w:rsid w:val="000A097E"/>
    <w:rsid w:val="000A0A76"/>
    <w:rsid w:val="000A0B80"/>
    <w:rsid w:val="000A0C42"/>
    <w:rsid w:val="000A0F2C"/>
    <w:rsid w:val="000A1575"/>
    <w:rsid w:val="000A1AC3"/>
    <w:rsid w:val="000A1CC3"/>
    <w:rsid w:val="000A1FE1"/>
    <w:rsid w:val="000A33B7"/>
    <w:rsid w:val="000A3485"/>
    <w:rsid w:val="000A38D9"/>
    <w:rsid w:val="000A3B19"/>
    <w:rsid w:val="000A3EEE"/>
    <w:rsid w:val="000A3F57"/>
    <w:rsid w:val="000A42C6"/>
    <w:rsid w:val="000A4663"/>
    <w:rsid w:val="000A50C5"/>
    <w:rsid w:val="000A5249"/>
    <w:rsid w:val="000A557E"/>
    <w:rsid w:val="000A56FD"/>
    <w:rsid w:val="000A5728"/>
    <w:rsid w:val="000A57C3"/>
    <w:rsid w:val="000A5E4A"/>
    <w:rsid w:val="000A6C7E"/>
    <w:rsid w:val="000A73CF"/>
    <w:rsid w:val="000A755B"/>
    <w:rsid w:val="000A7AA5"/>
    <w:rsid w:val="000A7BAE"/>
    <w:rsid w:val="000B0BDF"/>
    <w:rsid w:val="000B16D2"/>
    <w:rsid w:val="000B16EE"/>
    <w:rsid w:val="000B17D5"/>
    <w:rsid w:val="000B1AA7"/>
    <w:rsid w:val="000B1C4C"/>
    <w:rsid w:val="000B1DDC"/>
    <w:rsid w:val="000B1FC1"/>
    <w:rsid w:val="000B245F"/>
    <w:rsid w:val="000B291C"/>
    <w:rsid w:val="000B2AC3"/>
    <w:rsid w:val="000B3066"/>
    <w:rsid w:val="000B35F8"/>
    <w:rsid w:val="000B35FD"/>
    <w:rsid w:val="000B3727"/>
    <w:rsid w:val="000B3957"/>
    <w:rsid w:val="000B3CA5"/>
    <w:rsid w:val="000B49B4"/>
    <w:rsid w:val="000B4E3B"/>
    <w:rsid w:val="000B5198"/>
    <w:rsid w:val="000B5D72"/>
    <w:rsid w:val="000B62D9"/>
    <w:rsid w:val="000B671E"/>
    <w:rsid w:val="000B6730"/>
    <w:rsid w:val="000B6862"/>
    <w:rsid w:val="000B687C"/>
    <w:rsid w:val="000B699B"/>
    <w:rsid w:val="000B6B82"/>
    <w:rsid w:val="000B718F"/>
    <w:rsid w:val="000B7E33"/>
    <w:rsid w:val="000B7F4F"/>
    <w:rsid w:val="000B7F94"/>
    <w:rsid w:val="000C036B"/>
    <w:rsid w:val="000C1265"/>
    <w:rsid w:val="000C148C"/>
    <w:rsid w:val="000C1594"/>
    <w:rsid w:val="000C1618"/>
    <w:rsid w:val="000C1D0E"/>
    <w:rsid w:val="000C2289"/>
    <w:rsid w:val="000C25E7"/>
    <w:rsid w:val="000C2742"/>
    <w:rsid w:val="000C28F1"/>
    <w:rsid w:val="000C3310"/>
    <w:rsid w:val="000C35C0"/>
    <w:rsid w:val="000C4069"/>
    <w:rsid w:val="000C406F"/>
    <w:rsid w:val="000C573B"/>
    <w:rsid w:val="000C6984"/>
    <w:rsid w:val="000C72D4"/>
    <w:rsid w:val="000C74E8"/>
    <w:rsid w:val="000C7D73"/>
    <w:rsid w:val="000C7DF9"/>
    <w:rsid w:val="000C7E78"/>
    <w:rsid w:val="000D009A"/>
    <w:rsid w:val="000D0498"/>
    <w:rsid w:val="000D07EF"/>
    <w:rsid w:val="000D0A94"/>
    <w:rsid w:val="000D0C63"/>
    <w:rsid w:val="000D0FF8"/>
    <w:rsid w:val="000D1235"/>
    <w:rsid w:val="000D1427"/>
    <w:rsid w:val="000D14A2"/>
    <w:rsid w:val="000D1915"/>
    <w:rsid w:val="000D2189"/>
    <w:rsid w:val="000D265E"/>
    <w:rsid w:val="000D28D9"/>
    <w:rsid w:val="000D2946"/>
    <w:rsid w:val="000D2BB0"/>
    <w:rsid w:val="000D2CA5"/>
    <w:rsid w:val="000D318F"/>
    <w:rsid w:val="000D31CA"/>
    <w:rsid w:val="000D3427"/>
    <w:rsid w:val="000D34C3"/>
    <w:rsid w:val="000D3FA3"/>
    <w:rsid w:val="000D41D7"/>
    <w:rsid w:val="000D4489"/>
    <w:rsid w:val="000D49B3"/>
    <w:rsid w:val="000D4A54"/>
    <w:rsid w:val="000D4B71"/>
    <w:rsid w:val="000D5003"/>
    <w:rsid w:val="000D5DDB"/>
    <w:rsid w:val="000D5ED8"/>
    <w:rsid w:val="000D6094"/>
    <w:rsid w:val="000D6D72"/>
    <w:rsid w:val="000D6FD4"/>
    <w:rsid w:val="000D7028"/>
    <w:rsid w:val="000D70B5"/>
    <w:rsid w:val="000D7599"/>
    <w:rsid w:val="000E01A7"/>
    <w:rsid w:val="000E0845"/>
    <w:rsid w:val="000E0C13"/>
    <w:rsid w:val="000E0D12"/>
    <w:rsid w:val="000E0DA6"/>
    <w:rsid w:val="000E0DEE"/>
    <w:rsid w:val="000E1AB6"/>
    <w:rsid w:val="000E1AE3"/>
    <w:rsid w:val="000E1BB3"/>
    <w:rsid w:val="000E1C27"/>
    <w:rsid w:val="000E1D13"/>
    <w:rsid w:val="000E1EB2"/>
    <w:rsid w:val="000E1FED"/>
    <w:rsid w:val="000E26BC"/>
    <w:rsid w:val="000E3148"/>
    <w:rsid w:val="000E3727"/>
    <w:rsid w:val="000E38BB"/>
    <w:rsid w:val="000E3AEE"/>
    <w:rsid w:val="000E3B54"/>
    <w:rsid w:val="000E44F8"/>
    <w:rsid w:val="000E46DC"/>
    <w:rsid w:val="000E4805"/>
    <w:rsid w:val="000E48E2"/>
    <w:rsid w:val="000E5473"/>
    <w:rsid w:val="000E5503"/>
    <w:rsid w:val="000E56FB"/>
    <w:rsid w:val="000E585F"/>
    <w:rsid w:val="000E5A57"/>
    <w:rsid w:val="000E5DB8"/>
    <w:rsid w:val="000E5E82"/>
    <w:rsid w:val="000E5F4E"/>
    <w:rsid w:val="000E6332"/>
    <w:rsid w:val="000E6569"/>
    <w:rsid w:val="000E7153"/>
    <w:rsid w:val="000E71F2"/>
    <w:rsid w:val="000E72CC"/>
    <w:rsid w:val="000E73B0"/>
    <w:rsid w:val="000E7662"/>
    <w:rsid w:val="000E7B2D"/>
    <w:rsid w:val="000E7F1B"/>
    <w:rsid w:val="000F0033"/>
    <w:rsid w:val="000F0678"/>
    <w:rsid w:val="000F086A"/>
    <w:rsid w:val="000F121C"/>
    <w:rsid w:val="000F1B24"/>
    <w:rsid w:val="000F1C83"/>
    <w:rsid w:val="000F2008"/>
    <w:rsid w:val="000F22AB"/>
    <w:rsid w:val="000F3E79"/>
    <w:rsid w:val="000F52A3"/>
    <w:rsid w:val="000F550A"/>
    <w:rsid w:val="000F57D7"/>
    <w:rsid w:val="000F5927"/>
    <w:rsid w:val="000F59BB"/>
    <w:rsid w:val="000F68AB"/>
    <w:rsid w:val="000F6A28"/>
    <w:rsid w:val="000F6AA4"/>
    <w:rsid w:val="000F6B08"/>
    <w:rsid w:val="000F6DFE"/>
    <w:rsid w:val="000F6FE4"/>
    <w:rsid w:val="000F71FE"/>
    <w:rsid w:val="000F7212"/>
    <w:rsid w:val="000F770B"/>
    <w:rsid w:val="000F78F2"/>
    <w:rsid w:val="000F7C06"/>
    <w:rsid w:val="00100096"/>
    <w:rsid w:val="001000EF"/>
    <w:rsid w:val="00100248"/>
    <w:rsid w:val="00100B51"/>
    <w:rsid w:val="00101C29"/>
    <w:rsid w:val="00102A4D"/>
    <w:rsid w:val="00102B39"/>
    <w:rsid w:val="0010322B"/>
    <w:rsid w:val="00103246"/>
    <w:rsid w:val="001038FF"/>
    <w:rsid w:val="001042A7"/>
    <w:rsid w:val="001044F3"/>
    <w:rsid w:val="001047C6"/>
    <w:rsid w:val="00104A38"/>
    <w:rsid w:val="00105345"/>
    <w:rsid w:val="0010558C"/>
    <w:rsid w:val="0010570C"/>
    <w:rsid w:val="00105F05"/>
    <w:rsid w:val="00105FD6"/>
    <w:rsid w:val="001061FA"/>
    <w:rsid w:val="00106D94"/>
    <w:rsid w:val="00106F68"/>
    <w:rsid w:val="0010722E"/>
    <w:rsid w:val="00107608"/>
    <w:rsid w:val="00107D8F"/>
    <w:rsid w:val="001112BE"/>
    <w:rsid w:val="00111675"/>
    <w:rsid w:val="00111A8C"/>
    <w:rsid w:val="00111EF2"/>
    <w:rsid w:val="00111FAE"/>
    <w:rsid w:val="0011218B"/>
    <w:rsid w:val="00112B75"/>
    <w:rsid w:val="00113044"/>
    <w:rsid w:val="00113242"/>
    <w:rsid w:val="00114432"/>
    <w:rsid w:val="0011497A"/>
    <w:rsid w:val="00114A7B"/>
    <w:rsid w:val="00114E3B"/>
    <w:rsid w:val="00114E62"/>
    <w:rsid w:val="0011525F"/>
    <w:rsid w:val="0011584A"/>
    <w:rsid w:val="00115FF9"/>
    <w:rsid w:val="001165F2"/>
    <w:rsid w:val="00116708"/>
    <w:rsid w:val="001177BE"/>
    <w:rsid w:val="0011786C"/>
    <w:rsid w:val="001179BA"/>
    <w:rsid w:val="00117F17"/>
    <w:rsid w:val="00117FB2"/>
    <w:rsid w:val="00117FDA"/>
    <w:rsid w:val="001205F1"/>
    <w:rsid w:val="00120769"/>
    <w:rsid w:val="00120A13"/>
    <w:rsid w:val="0012152A"/>
    <w:rsid w:val="001219CB"/>
    <w:rsid w:val="00121AE5"/>
    <w:rsid w:val="00121B35"/>
    <w:rsid w:val="00121BD3"/>
    <w:rsid w:val="00121D5F"/>
    <w:rsid w:val="00121DA2"/>
    <w:rsid w:val="00121E15"/>
    <w:rsid w:val="00122105"/>
    <w:rsid w:val="00122770"/>
    <w:rsid w:val="00122912"/>
    <w:rsid w:val="00122943"/>
    <w:rsid w:val="00123047"/>
    <w:rsid w:val="001231E9"/>
    <w:rsid w:val="00123386"/>
    <w:rsid w:val="00123A44"/>
    <w:rsid w:val="00123EB9"/>
    <w:rsid w:val="00123F31"/>
    <w:rsid w:val="00124788"/>
    <w:rsid w:val="001247E3"/>
    <w:rsid w:val="00124DE7"/>
    <w:rsid w:val="001255C8"/>
    <w:rsid w:val="001256FD"/>
    <w:rsid w:val="00125821"/>
    <w:rsid w:val="00125871"/>
    <w:rsid w:val="001262B7"/>
    <w:rsid w:val="00126452"/>
    <w:rsid w:val="001264A2"/>
    <w:rsid w:val="00126ED6"/>
    <w:rsid w:val="001274F4"/>
    <w:rsid w:val="001275CB"/>
    <w:rsid w:val="00127901"/>
    <w:rsid w:val="001279EF"/>
    <w:rsid w:val="00127F18"/>
    <w:rsid w:val="00127F31"/>
    <w:rsid w:val="001300D3"/>
    <w:rsid w:val="0013017C"/>
    <w:rsid w:val="00130371"/>
    <w:rsid w:val="001304A5"/>
    <w:rsid w:val="00130ABA"/>
    <w:rsid w:val="00130F5A"/>
    <w:rsid w:val="001311F3"/>
    <w:rsid w:val="00131948"/>
    <w:rsid w:val="00131D33"/>
    <w:rsid w:val="001327C7"/>
    <w:rsid w:val="001328A7"/>
    <w:rsid w:val="00132A10"/>
    <w:rsid w:val="00132C7A"/>
    <w:rsid w:val="00133108"/>
    <w:rsid w:val="00133A51"/>
    <w:rsid w:val="00134355"/>
    <w:rsid w:val="00134578"/>
    <w:rsid w:val="0013460A"/>
    <w:rsid w:val="00134762"/>
    <w:rsid w:val="00134B0C"/>
    <w:rsid w:val="00134E6A"/>
    <w:rsid w:val="0013506F"/>
    <w:rsid w:val="001354C0"/>
    <w:rsid w:val="00135833"/>
    <w:rsid w:val="0013604F"/>
    <w:rsid w:val="0013707E"/>
    <w:rsid w:val="0013710B"/>
    <w:rsid w:val="0013730A"/>
    <w:rsid w:val="00137386"/>
    <w:rsid w:val="00137A54"/>
    <w:rsid w:val="00137F50"/>
    <w:rsid w:val="00140990"/>
    <w:rsid w:val="001409F4"/>
    <w:rsid w:val="00140A17"/>
    <w:rsid w:val="00140CB2"/>
    <w:rsid w:val="00140D5F"/>
    <w:rsid w:val="00141087"/>
    <w:rsid w:val="00141516"/>
    <w:rsid w:val="00141AB1"/>
    <w:rsid w:val="00142127"/>
    <w:rsid w:val="001424BD"/>
    <w:rsid w:val="00142A68"/>
    <w:rsid w:val="00142CF2"/>
    <w:rsid w:val="00142D2E"/>
    <w:rsid w:val="00142E83"/>
    <w:rsid w:val="0014350A"/>
    <w:rsid w:val="001436AE"/>
    <w:rsid w:val="00143BA8"/>
    <w:rsid w:val="00143BB1"/>
    <w:rsid w:val="00143E35"/>
    <w:rsid w:val="00143E39"/>
    <w:rsid w:val="001441A2"/>
    <w:rsid w:val="001451B5"/>
    <w:rsid w:val="00145949"/>
    <w:rsid w:val="001465E7"/>
    <w:rsid w:val="00146612"/>
    <w:rsid w:val="00146C9A"/>
    <w:rsid w:val="00146D79"/>
    <w:rsid w:val="001477B0"/>
    <w:rsid w:val="00147B29"/>
    <w:rsid w:val="0015090C"/>
    <w:rsid w:val="00150A86"/>
    <w:rsid w:val="00150A8A"/>
    <w:rsid w:val="00150F27"/>
    <w:rsid w:val="00151B6F"/>
    <w:rsid w:val="00151CB4"/>
    <w:rsid w:val="00151DF7"/>
    <w:rsid w:val="0015241C"/>
    <w:rsid w:val="00153089"/>
    <w:rsid w:val="0015355D"/>
    <w:rsid w:val="001535C3"/>
    <w:rsid w:val="00153B40"/>
    <w:rsid w:val="00153B9D"/>
    <w:rsid w:val="00154F31"/>
    <w:rsid w:val="00154FCD"/>
    <w:rsid w:val="00155237"/>
    <w:rsid w:val="00155279"/>
    <w:rsid w:val="001554E4"/>
    <w:rsid w:val="00155598"/>
    <w:rsid w:val="00155B25"/>
    <w:rsid w:val="00155CD3"/>
    <w:rsid w:val="001562DD"/>
    <w:rsid w:val="0015635F"/>
    <w:rsid w:val="001563CE"/>
    <w:rsid w:val="001569A4"/>
    <w:rsid w:val="00156AF2"/>
    <w:rsid w:val="00156B29"/>
    <w:rsid w:val="00156B8F"/>
    <w:rsid w:val="00156D8F"/>
    <w:rsid w:val="00156ED3"/>
    <w:rsid w:val="001573F7"/>
    <w:rsid w:val="0015767A"/>
    <w:rsid w:val="00157DF0"/>
    <w:rsid w:val="00160866"/>
    <w:rsid w:val="00161101"/>
    <w:rsid w:val="001613DD"/>
    <w:rsid w:val="00161704"/>
    <w:rsid w:val="00161893"/>
    <w:rsid w:val="00161C28"/>
    <w:rsid w:val="00161CB3"/>
    <w:rsid w:val="001627D2"/>
    <w:rsid w:val="00162A95"/>
    <w:rsid w:val="0016333A"/>
    <w:rsid w:val="001639CF"/>
    <w:rsid w:val="00163A6D"/>
    <w:rsid w:val="00163DD8"/>
    <w:rsid w:val="00164581"/>
    <w:rsid w:val="00164982"/>
    <w:rsid w:val="00164EF3"/>
    <w:rsid w:val="001650DE"/>
    <w:rsid w:val="00165CF8"/>
    <w:rsid w:val="00165ECC"/>
    <w:rsid w:val="001660ED"/>
    <w:rsid w:val="001662BD"/>
    <w:rsid w:val="0016638C"/>
    <w:rsid w:val="00166407"/>
    <w:rsid w:val="00166680"/>
    <w:rsid w:val="001666A4"/>
    <w:rsid w:val="00167143"/>
    <w:rsid w:val="0016772E"/>
    <w:rsid w:val="00167D3D"/>
    <w:rsid w:val="00167E0D"/>
    <w:rsid w:val="00167E70"/>
    <w:rsid w:val="00167F8B"/>
    <w:rsid w:val="0017058A"/>
    <w:rsid w:val="00170724"/>
    <w:rsid w:val="0017083F"/>
    <w:rsid w:val="001709BC"/>
    <w:rsid w:val="00170A7D"/>
    <w:rsid w:val="00170BB2"/>
    <w:rsid w:val="00170E0E"/>
    <w:rsid w:val="00170F39"/>
    <w:rsid w:val="00171302"/>
    <w:rsid w:val="00171493"/>
    <w:rsid w:val="001716CC"/>
    <w:rsid w:val="0017173E"/>
    <w:rsid w:val="00171EAA"/>
    <w:rsid w:val="00172A06"/>
    <w:rsid w:val="00172B1A"/>
    <w:rsid w:val="00172C96"/>
    <w:rsid w:val="00172E2F"/>
    <w:rsid w:val="00172EC9"/>
    <w:rsid w:val="00172FBF"/>
    <w:rsid w:val="001734AF"/>
    <w:rsid w:val="00174585"/>
    <w:rsid w:val="001746C7"/>
    <w:rsid w:val="00174751"/>
    <w:rsid w:val="00174B68"/>
    <w:rsid w:val="00174D72"/>
    <w:rsid w:val="00174EB9"/>
    <w:rsid w:val="00174F09"/>
    <w:rsid w:val="00174FB3"/>
    <w:rsid w:val="00175158"/>
    <w:rsid w:val="001751CD"/>
    <w:rsid w:val="00175392"/>
    <w:rsid w:val="00175499"/>
    <w:rsid w:val="0017566D"/>
    <w:rsid w:val="001759FD"/>
    <w:rsid w:val="00175DE2"/>
    <w:rsid w:val="00176004"/>
    <w:rsid w:val="0017625D"/>
    <w:rsid w:val="00176BC8"/>
    <w:rsid w:val="00176BF7"/>
    <w:rsid w:val="00176BFC"/>
    <w:rsid w:val="0017704D"/>
    <w:rsid w:val="00177252"/>
    <w:rsid w:val="0017763F"/>
    <w:rsid w:val="0017770D"/>
    <w:rsid w:val="001778E8"/>
    <w:rsid w:val="00177E9D"/>
    <w:rsid w:val="001800A9"/>
    <w:rsid w:val="00180FA1"/>
    <w:rsid w:val="00180FF1"/>
    <w:rsid w:val="00181083"/>
    <w:rsid w:val="00181317"/>
    <w:rsid w:val="0018237F"/>
    <w:rsid w:val="00182402"/>
    <w:rsid w:val="0018255A"/>
    <w:rsid w:val="00183065"/>
    <w:rsid w:val="00183A81"/>
    <w:rsid w:val="00183CAA"/>
    <w:rsid w:val="00183F5D"/>
    <w:rsid w:val="001845F2"/>
    <w:rsid w:val="00184E23"/>
    <w:rsid w:val="00184EE1"/>
    <w:rsid w:val="00184FCE"/>
    <w:rsid w:val="001850CD"/>
    <w:rsid w:val="00185517"/>
    <w:rsid w:val="00185680"/>
    <w:rsid w:val="00185EA2"/>
    <w:rsid w:val="00185F25"/>
    <w:rsid w:val="001864D8"/>
    <w:rsid w:val="00186902"/>
    <w:rsid w:val="00187765"/>
    <w:rsid w:val="00187BF0"/>
    <w:rsid w:val="00190123"/>
    <w:rsid w:val="00190885"/>
    <w:rsid w:val="00190CC9"/>
    <w:rsid w:val="0019115F"/>
    <w:rsid w:val="00191313"/>
    <w:rsid w:val="001915D9"/>
    <w:rsid w:val="001916A4"/>
    <w:rsid w:val="00191867"/>
    <w:rsid w:val="00191B0E"/>
    <w:rsid w:val="00192024"/>
    <w:rsid w:val="00192E2D"/>
    <w:rsid w:val="00193197"/>
    <w:rsid w:val="001932E5"/>
    <w:rsid w:val="0019341D"/>
    <w:rsid w:val="00193503"/>
    <w:rsid w:val="001936D6"/>
    <w:rsid w:val="001936F4"/>
    <w:rsid w:val="001948B2"/>
    <w:rsid w:val="00194EFA"/>
    <w:rsid w:val="00194F21"/>
    <w:rsid w:val="0019512C"/>
    <w:rsid w:val="0019577B"/>
    <w:rsid w:val="00195871"/>
    <w:rsid w:val="00195F30"/>
    <w:rsid w:val="001963E4"/>
    <w:rsid w:val="001964B9"/>
    <w:rsid w:val="001965D2"/>
    <w:rsid w:val="001966F0"/>
    <w:rsid w:val="0019717C"/>
    <w:rsid w:val="00197272"/>
    <w:rsid w:val="001972D4"/>
    <w:rsid w:val="001974CD"/>
    <w:rsid w:val="00197712"/>
    <w:rsid w:val="00197764"/>
    <w:rsid w:val="001978A0"/>
    <w:rsid w:val="001978CF"/>
    <w:rsid w:val="00197F91"/>
    <w:rsid w:val="001A0240"/>
    <w:rsid w:val="001A0389"/>
    <w:rsid w:val="001A0406"/>
    <w:rsid w:val="001A0873"/>
    <w:rsid w:val="001A0954"/>
    <w:rsid w:val="001A1116"/>
    <w:rsid w:val="001A1658"/>
    <w:rsid w:val="001A170B"/>
    <w:rsid w:val="001A18A8"/>
    <w:rsid w:val="001A1EC2"/>
    <w:rsid w:val="001A2119"/>
    <w:rsid w:val="001A2148"/>
    <w:rsid w:val="001A2169"/>
    <w:rsid w:val="001A2578"/>
    <w:rsid w:val="001A28DB"/>
    <w:rsid w:val="001A2A78"/>
    <w:rsid w:val="001A2AA5"/>
    <w:rsid w:val="001A2C20"/>
    <w:rsid w:val="001A301F"/>
    <w:rsid w:val="001A3557"/>
    <w:rsid w:val="001A373A"/>
    <w:rsid w:val="001A3B77"/>
    <w:rsid w:val="001A3E29"/>
    <w:rsid w:val="001A4981"/>
    <w:rsid w:val="001A50CC"/>
    <w:rsid w:val="001A5224"/>
    <w:rsid w:val="001A5391"/>
    <w:rsid w:val="001A53AA"/>
    <w:rsid w:val="001A5DFE"/>
    <w:rsid w:val="001A6041"/>
    <w:rsid w:val="001A60F9"/>
    <w:rsid w:val="001A6164"/>
    <w:rsid w:val="001A62DF"/>
    <w:rsid w:val="001A6560"/>
    <w:rsid w:val="001A67AF"/>
    <w:rsid w:val="001A6A83"/>
    <w:rsid w:val="001A6D6E"/>
    <w:rsid w:val="001A6F70"/>
    <w:rsid w:val="001A7685"/>
    <w:rsid w:val="001A7795"/>
    <w:rsid w:val="001A77FB"/>
    <w:rsid w:val="001A7B05"/>
    <w:rsid w:val="001A7D9E"/>
    <w:rsid w:val="001B0390"/>
    <w:rsid w:val="001B0789"/>
    <w:rsid w:val="001B10C1"/>
    <w:rsid w:val="001B12BB"/>
    <w:rsid w:val="001B1696"/>
    <w:rsid w:val="001B1A20"/>
    <w:rsid w:val="001B1D79"/>
    <w:rsid w:val="001B20C9"/>
    <w:rsid w:val="001B247B"/>
    <w:rsid w:val="001B28F5"/>
    <w:rsid w:val="001B2BDC"/>
    <w:rsid w:val="001B2D5F"/>
    <w:rsid w:val="001B3245"/>
    <w:rsid w:val="001B3618"/>
    <w:rsid w:val="001B36D6"/>
    <w:rsid w:val="001B38D3"/>
    <w:rsid w:val="001B3CB6"/>
    <w:rsid w:val="001B3FE0"/>
    <w:rsid w:val="001B424F"/>
    <w:rsid w:val="001B4338"/>
    <w:rsid w:val="001B4421"/>
    <w:rsid w:val="001B4C4F"/>
    <w:rsid w:val="001B57F5"/>
    <w:rsid w:val="001B58A9"/>
    <w:rsid w:val="001B5BE9"/>
    <w:rsid w:val="001B601F"/>
    <w:rsid w:val="001B69CA"/>
    <w:rsid w:val="001B700C"/>
    <w:rsid w:val="001B7420"/>
    <w:rsid w:val="001B778F"/>
    <w:rsid w:val="001B7F5E"/>
    <w:rsid w:val="001C01BE"/>
    <w:rsid w:val="001C026F"/>
    <w:rsid w:val="001C04D0"/>
    <w:rsid w:val="001C06CF"/>
    <w:rsid w:val="001C09D3"/>
    <w:rsid w:val="001C0DD2"/>
    <w:rsid w:val="001C0EA3"/>
    <w:rsid w:val="001C0FB7"/>
    <w:rsid w:val="001C14FF"/>
    <w:rsid w:val="001C15AE"/>
    <w:rsid w:val="001C197D"/>
    <w:rsid w:val="001C1EFF"/>
    <w:rsid w:val="001C20CD"/>
    <w:rsid w:val="001C23E8"/>
    <w:rsid w:val="001C25D2"/>
    <w:rsid w:val="001C2A12"/>
    <w:rsid w:val="001C2D2B"/>
    <w:rsid w:val="001C2D41"/>
    <w:rsid w:val="001C308F"/>
    <w:rsid w:val="001C3202"/>
    <w:rsid w:val="001C3514"/>
    <w:rsid w:val="001C4173"/>
    <w:rsid w:val="001C432A"/>
    <w:rsid w:val="001C445D"/>
    <w:rsid w:val="001C48A0"/>
    <w:rsid w:val="001C4D70"/>
    <w:rsid w:val="001C4ECB"/>
    <w:rsid w:val="001C529C"/>
    <w:rsid w:val="001C5398"/>
    <w:rsid w:val="001C552A"/>
    <w:rsid w:val="001C57F8"/>
    <w:rsid w:val="001C59E4"/>
    <w:rsid w:val="001C5CE0"/>
    <w:rsid w:val="001C6103"/>
    <w:rsid w:val="001C6DB1"/>
    <w:rsid w:val="001C6E1D"/>
    <w:rsid w:val="001C7607"/>
    <w:rsid w:val="001C771A"/>
    <w:rsid w:val="001C7EA8"/>
    <w:rsid w:val="001C7F8E"/>
    <w:rsid w:val="001D0FD9"/>
    <w:rsid w:val="001D1362"/>
    <w:rsid w:val="001D147A"/>
    <w:rsid w:val="001D19BE"/>
    <w:rsid w:val="001D2165"/>
    <w:rsid w:val="001D2295"/>
    <w:rsid w:val="001D2388"/>
    <w:rsid w:val="001D256D"/>
    <w:rsid w:val="001D25ED"/>
    <w:rsid w:val="001D2845"/>
    <w:rsid w:val="001D2951"/>
    <w:rsid w:val="001D2CDE"/>
    <w:rsid w:val="001D30AD"/>
    <w:rsid w:val="001D3572"/>
    <w:rsid w:val="001D3FA1"/>
    <w:rsid w:val="001D4251"/>
    <w:rsid w:val="001D490C"/>
    <w:rsid w:val="001D4E62"/>
    <w:rsid w:val="001D4EF2"/>
    <w:rsid w:val="001D55AE"/>
    <w:rsid w:val="001D59F2"/>
    <w:rsid w:val="001D5AED"/>
    <w:rsid w:val="001D5D87"/>
    <w:rsid w:val="001D5E88"/>
    <w:rsid w:val="001D5EF3"/>
    <w:rsid w:val="001D69FD"/>
    <w:rsid w:val="001D6C8D"/>
    <w:rsid w:val="001D70B4"/>
    <w:rsid w:val="001D7225"/>
    <w:rsid w:val="001D747A"/>
    <w:rsid w:val="001D7B59"/>
    <w:rsid w:val="001D7BB6"/>
    <w:rsid w:val="001D7CC0"/>
    <w:rsid w:val="001D7ED8"/>
    <w:rsid w:val="001E04E7"/>
    <w:rsid w:val="001E0502"/>
    <w:rsid w:val="001E0988"/>
    <w:rsid w:val="001E0D56"/>
    <w:rsid w:val="001E0E59"/>
    <w:rsid w:val="001E10D4"/>
    <w:rsid w:val="001E1BA1"/>
    <w:rsid w:val="001E1D2B"/>
    <w:rsid w:val="001E1D61"/>
    <w:rsid w:val="001E1DE5"/>
    <w:rsid w:val="001E2557"/>
    <w:rsid w:val="001E28A4"/>
    <w:rsid w:val="001E302E"/>
    <w:rsid w:val="001E324C"/>
    <w:rsid w:val="001E3576"/>
    <w:rsid w:val="001E4005"/>
    <w:rsid w:val="001E456F"/>
    <w:rsid w:val="001E4854"/>
    <w:rsid w:val="001E4EC7"/>
    <w:rsid w:val="001E53F9"/>
    <w:rsid w:val="001E55EE"/>
    <w:rsid w:val="001E5818"/>
    <w:rsid w:val="001E5AEA"/>
    <w:rsid w:val="001E5C3F"/>
    <w:rsid w:val="001E5D37"/>
    <w:rsid w:val="001E5D5D"/>
    <w:rsid w:val="001E5DE9"/>
    <w:rsid w:val="001E5E05"/>
    <w:rsid w:val="001E6080"/>
    <w:rsid w:val="001E6331"/>
    <w:rsid w:val="001E65CA"/>
    <w:rsid w:val="001E6819"/>
    <w:rsid w:val="001E6824"/>
    <w:rsid w:val="001E6D2A"/>
    <w:rsid w:val="001E7431"/>
    <w:rsid w:val="001E7C26"/>
    <w:rsid w:val="001E7E9E"/>
    <w:rsid w:val="001F000B"/>
    <w:rsid w:val="001F02CF"/>
    <w:rsid w:val="001F02F2"/>
    <w:rsid w:val="001F0330"/>
    <w:rsid w:val="001F044E"/>
    <w:rsid w:val="001F05AC"/>
    <w:rsid w:val="001F0E5D"/>
    <w:rsid w:val="001F0FA6"/>
    <w:rsid w:val="001F1050"/>
    <w:rsid w:val="001F1128"/>
    <w:rsid w:val="001F192A"/>
    <w:rsid w:val="001F22ED"/>
    <w:rsid w:val="001F24A7"/>
    <w:rsid w:val="001F258A"/>
    <w:rsid w:val="001F2EB0"/>
    <w:rsid w:val="001F2FD6"/>
    <w:rsid w:val="001F32F2"/>
    <w:rsid w:val="001F383F"/>
    <w:rsid w:val="001F3E51"/>
    <w:rsid w:val="001F42E8"/>
    <w:rsid w:val="001F434E"/>
    <w:rsid w:val="001F4866"/>
    <w:rsid w:val="001F49C9"/>
    <w:rsid w:val="001F4BD2"/>
    <w:rsid w:val="001F4CA0"/>
    <w:rsid w:val="001F4F3C"/>
    <w:rsid w:val="001F50B2"/>
    <w:rsid w:val="001F538F"/>
    <w:rsid w:val="001F59F1"/>
    <w:rsid w:val="001F6902"/>
    <w:rsid w:val="001F6A06"/>
    <w:rsid w:val="001F6E2B"/>
    <w:rsid w:val="001F7275"/>
    <w:rsid w:val="0020043C"/>
    <w:rsid w:val="0020121A"/>
    <w:rsid w:val="0020212A"/>
    <w:rsid w:val="002023B2"/>
    <w:rsid w:val="002024CF"/>
    <w:rsid w:val="00202591"/>
    <w:rsid w:val="00202662"/>
    <w:rsid w:val="002029DB"/>
    <w:rsid w:val="00202B19"/>
    <w:rsid w:val="002030F6"/>
    <w:rsid w:val="00203A2D"/>
    <w:rsid w:val="002041A8"/>
    <w:rsid w:val="00204245"/>
    <w:rsid w:val="00204472"/>
    <w:rsid w:val="00204C1C"/>
    <w:rsid w:val="00204DB7"/>
    <w:rsid w:val="00204F50"/>
    <w:rsid w:val="0020574C"/>
    <w:rsid w:val="0020580B"/>
    <w:rsid w:val="00205F27"/>
    <w:rsid w:val="00206234"/>
    <w:rsid w:val="002065FA"/>
    <w:rsid w:val="00207255"/>
    <w:rsid w:val="0020763C"/>
    <w:rsid w:val="00207756"/>
    <w:rsid w:val="002078D5"/>
    <w:rsid w:val="00210376"/>
    <w:rsid w:val="0021069B"/>
    <w:rsid w:val="00210DF1"/>
    <w:rsid w:val="00210E1C"/>
    <w:rsid w:val="002115E6"/>
    <w:rsid w:val="002117AE"/>
    <w:rsid w:val="00211CC3"/>
    <w:rsid w:val="00211D2A"/>
    <w:rsid w:val="00211D73"/>
    <w:rsid w:val="00212167"/>
    <w:rsid w:val="0021263C"/>
    <w:rsid w:val="0021286A"/>
    <w:rsid w:val="00212B07"/>
    <w:rsid w:val="00213459"/>
    <w:rsid w:val="00213541"/>
    <w:rsid w:val="00213836"/>
    <w:rsid w:val="00213ABC"/>
    <w:rsid w:val="002141E8"/>
    <w:rsid w:val="0021511B"/>
    <w:rsid w:val="00215204"/>
    <w:rsid w:val="0021675B"/>
    <w:rsid w:val="002167EA"/>
    <w:rsid w:val="0021680A"/>
    <w:rsid w:val="00216C6E"/>
    <w:rsid w:val="0021771B"/>
    <w:rsid w:val="0021786F"/>
    <w:rsid w:val="00217B94"/>
    <w:rsid w:val="00217C3B"/>
    <w:rsid w:val="00217FF8"/>
    <w:rsid w:val="002205A9"/>
    <w:rsid w:val="00220729"/>
    <w:rsid w:val="00221323"/>
    <w:rsid w:val="002219FB"/>
    <w:rsid w:val="00221B54"/>
    <w:rsid w:val="00221E67"/>
    <w:rsid w:val="00222116"/>
    <w:rsid w:val="002228B7"/>
    <w:rsid w:val="002228BE"/>
    <w:rsid w:val="002229F0"/>
    <w:rsid w:val="00222D2E"/>
    <w:rsid w:val="00222F04"/>
    <w:rsid w:val="0022318B"/>
    <w:rsid w:val="0022327A"/>
    <w:rsid w:val="00223EEE"/>
    <w:rsid w:val="00224423"/>
    <w:rsid w:val="002246BC"/>
    <w:rsid w:val="00224FA8"/>
    <w:rsid w:val="0022509F"/>
    <w:rsid w:val="00225BAE"/>
    <w:rsid w:val="00225C00"/>
    <w:rsid w:val="00226062"/>
    <w:rsid w:val="00226435"/>
    <w:rsid w:val="0022691E"/>
    <w:rsid w:val="00226C7B"/>
    <w:rsid w:val="0022753F"/>
    <w:rsid w:val="00227A6A"/>
    <w:rsid w:val="0023014F"/>
    <w:rsid w:val="002303F8"/>
    <w:rsid w:val="00230679"/>
    <w:rsid w:val="0023098B"/>
    <w:rsid w:val="0023107F"/>
    <w:rsid w:val="00231B8C"/>
    <w:rsid w:val="00232238"/>
    <w:rsid w:val="0023234C"/>
    <w:rsid w:val="00232451"/>
    <w:rsid w:val="00232640"/>
    <w:rsid w:val="00232A22"/>
    <w:rsid w:val="00232EAE"/>
    <w:rsid w:val="00233D4F"/>
    <w:rsid w:val="00233EF5"/>
    <w:rsid w:val="00233F72"/>
    <w:rsid w:val="00234099"/>
    <w:rsid w:val="0023413F"/>
    <w:rsid w:val="002341F8"/>
    <w:rsid w:val="002347CD"/>
    <w:rsid w:val="00234B89"/>
    <w:rsid w:val="00234C8A"/>
    <w:rsid w:val="00235BDC"/>
    <w:rsid w:val="00235E7D"/>
    <w:rsid w:val="00235FA3"/>
    <w:rsid w:val="0023607E"/>
    <w:rsid w:val="002360D7"/>
    <w:rsid w:val="002362A5"/>
    <w:rsid w:val="002366E4"/>
    <w:rsid w:val="002369B0"/>
    <w:rsid w:val="00236A09"/>
    <w:rsid w:val="00236D62"/>
    <w:rsid w:val="002372AD"/>
    <w:rsid w:val="0023732E"/>
    <w:rsid w:val="00237B1A"/>
    <w:rsid w:val="00237E31"/>
    <w:rsid w:val="00237F96"/>
    <w:rsid w:val="002405B0"/>
    <w:rsid w:val="00240BD0"/>
    <w:rsid w:val="002410B0"/>
    <w:rsid w:val="00241218"/>
    <w:rsid w:val="002416C7"/>
    <w:rsid w:val="00241C55"/>
    <w:rsid w:val="00241F6F"/>
    <w:rsid w:val="00241FD6"/>
    <w:rsid w:val="00242225"/>
    <w:rsid w:val="0024234D"/>
    <w:rsid w:val="002426EC"/>
    <w:rsid w:val="00242E6D"/>
    <w:rsid w:val="00243166"/>
    <w:rsid w:val="00243748"/>
    <w:rsid w:val="0024391E"/>
    <w:rsid w:val="002447F4"/>
    <w:rsid w:val="00245012"/>
    <w:rsid w:val="0024510E"/>
    <w:rsid w:val="00245414"/>
    <w:rsid w:val="0024564C"/>
    <w:rsid w:val="0024622D"/>
    <w:rsid w:val="0024662B"/>
    <w:rsid w:val="002466A4"/>
    <w:rsid w:val="0024779D"/>
    <w:rsid w:val="0025029E"/>
    <w:rsid w:val="002508C3"/>
    <w:rsid w:val="002511A3"/>
    <w:rsid w:val="00251959"/>
    <w:rsid w:val="00251BD2"/>
    <w:rsid w:val="002531D0"/>
    <w:rsid w:val="00253DAA"/>
    <w:rsid w:val="00253EA1"/>
    <w:rsid w:val="00254384"/>
    <w:rsid w:val="0025470A"/>
    <w:rsid w:val="002547F1"/>
    <w:rsid w:val="00254938"/>
    <w:rsid w:val="00254F25"/>
    <w:rsid w:val="0025569F"/>
    <w:rsid w:val="00255A22"/>
    <w:rsid w:val="00255B6E"/>
    <w:rsid w:val="00255E65"/>
    <w:rsid w:val="00255FB5"/>
    <w:rsid w:val="00256832"/>
    <w:rsid w:val="00256937"/>
    <w:rsid w:val="00256BC6"/>
    <w:rsid w:val="00257119"/>
    <w:rsid w:val="002571B1"/>
    <w:rsid w:val="00257207"/>
    <w:rsid w:val="0025757D"/>
    <w:rsid w:val="00257656"/>
    <w:rsid w:val="002576CC"/>
    <w:rsid w:val="00257A38"/>
    <w:rsid w:val="00257C51"/>
    <w:rsid w:val="00260259"/>
    <w:rsid w:val="002604D6"/>
    <w:rsid w:val="0026069A"/>
    <w:rsid w:val="00260706"/>
    <w:rsid w:val="00260ECA"/>
    <w:rsid w:val="00260FF6"/>
    <w:rsid w:val="002610C1"/>
    <w:rsid w:val="00261452"/>
    <w:rsid w:val="002617C2"/>
    <w:rsid w:val="002618E0"/>
    <w:rsid w:val="00261BA0"/>
    <w:rsid w:val="002620D4"/>
    <w:rsid w:val="002621CA"/>
    <w:rsid w:val="0026277B"/>
    <w:rsid w:val="00262AF8"/>
    <w:rsid w:val="00263E6C"/>
    <w:rsid w:val="00264511"/>
    <w:rsid w:val="0026468A"/>
    <w:rsid w:val="00264E93"/>
    <w:rsid w:val="00264EE6"/>
    <w:rsid w:val="00265194"/>
    <w:rsid w:val="0026580A"/>
    <w:rsid w:val="002659AD"/>
    <w:rsid w:val="00266344"/>
    <w:rsid w:val="00266995"/>
    <w:rsid w:val="002671ED"/>
    <w:rsid w:val="0026729C"/>
    <w:rsid w:val="00267608"/>
    <w:rsid w:val="002678BE"/>
    <w:rsid w:val="002679B9"/>
    <w:rsid w:val="00267D56"/>
    <w:rsid w:val="00267E54"/>
    <w:rsid w:val="0027040E"/>
    <w:rsid w:val="00270566"/>
    <w:rsid w:val="00270727"/>
    <w:rsid w:val="00270A85"/>
    <w:rsid w:val="00270D45"/>
    <w:rsid w:val="002710FB"/>
    <w:rsid w:val="00271384"/>
    <w:rsid w:val="0027157F"/>
    <w:rsid w:val="0027169B"/>
    <w:rsid w:val="00271997"/>
    <w:rsid w:val="00271A90"/>
    <w:rsid w:val="00271C3B"/>
    <w:rsid w:val="00271E0C"/>
    <w:rsid w:val="002720E7"/>
    <w:rsid w:val="00272203"/>
    <w:rsid w:val="002725FC"/>
    <w:rsid w:val="00272797"/>
    <w:rsid w:val="00272840"/>
    <w:rsid w:val="002731DB"/>
    <w:rsid w:val="002739D6"/>
    <w:rsid w:val="00273A2F"/>
    <w:rsid w:val="0027405C"/>
    <w:rsid w:val="0027409C"/>
    <w:rsid w:val="00274255"/>
    <w:rsid w:val="00274AF9"/>
    <w:rsid w:val="00274BA1"/>
    <w:rsid w:val="00274BB7"/>
    <w:rsid w:val="00274E30"/>
    <w:rsid w:val="00274E81"/>
    <w:rsid w:val="00274F04"/>
    <w:rsid w:val="0027510F"/>
    <w:rsid w:val="00276772"/>
    <w:rsid w:val="002767D2"/>
    <w:rsid w:val="0027741A"/>
    <w:rsid w:val="00277528"/>
    <w:rsid w:val="002777EF"/>
    <w:rsid w:val="00277872"/>
    <w:rsid w:val="00277E37"/>
    <w:rsid w:val="002805AD"/>
    <w:rsid w:val="002808F3"/>
    <w:rsid w:val="002810B5"/>
    <w:rsid w:val="002821D2"/>
    <w:rsid w:val="002821EC"/>
    <w:rsid w:val="00282836"/>
    <w:rsid w:val="00282853"/>
    <w:rsid w:val="002829F4"/>
    <w:rsid w:val="00282E3B"/>
    <w:rsid w:val="002833DB"/>
    <w:rsid w:val="0028353B"/>
    <w:rsid w:val="0028377E"/>
    <w:rsid w:val="00283D36"/>
    <w:rsid w:val="002841D4"/>
    <w:rsid w:val="002844E3"/>
    <w:rsid w:val="002847C3"/>
    <w:rsid w:val="002847DC"/>
    <w:rsid w:val="00284904"/>
    <w:rsid w:val="00284986"/>
    <w:rsid w:val="00284C02"/>
    <w:rsid w:val="0028523B"/>
    <w:rsid w:val="002854B9"/>
    <w:rsid w:val="002857DC"/>
    <w:rsid w:val="00285CAA"/>
    <w:rsid w:val="00285EA6"/>
    <w:rsid w:val="00285EE9"/>
    <w:rsid w:val="00285FEF"/>
    <w:rsid w:val="00286229"/>
    <w:rsid w:val="00286777"/>
    <w:rsid w:val="0028689F"/>
    <w:rsid w:val="00286A04"/>
    <w:rsid w:val="002904C4"/>
    <w:rsid w:val="002906B8"/>
    <w:rsid w:val="002907F7"/>
    <w:rsid w:val="00290DEB"/>
    <w:rsid w:val="00290FB4"/>
    <w:rsid w:val="002910F9"/>
    <w:rsid w:val="0029146B"/>
    <w:rsid w:val="002915D8"/>
    <w:rsid w:val="00291755"/>
    <w:rsid w:val="00291D14"/>
    <w:rsid w:val="002923EA"/>
    <w:rsid w:val="002927DC"/>
    <w:rsid w:val="00292AA5"/>
    <w:rsid w:val="00293495"/>
    <w:rsid w:val="0029395D"/>
    <w:rsid w:val="00293E61"/>
    <w:rsid w:val="0029400E"/>
    <w:rsid w:val="0029406C"/>
    <w:rsid w:val="002942FB"/>
    <w:rsid w:val="002943C9"/>
    <w:rsid w:val="00294929"/>
    <w:rsid w:val="00295AC6"/>
    <w:rsid w:val="00295B77"/>
    <w:rsid w:val="00295DA5"/>
    <w:rsid w:val="00295E14"/>
    <w:rsid w:val="00296180"/>
    <w:rsid w:val="0029652D"/>
    <w:rsid w:val="002968AD"/>
    <w:rsid w:val="00296EC7"/>
    <w:rsid w:val="00296F77"/>
    <w:rsid w:val="00297B2B"/>
    <w:rsid w:val="002A03E6"/>
    <w:rsid w:val="002A0635"/>
    <w:rsid w:val="002A0B52"/>
    <w:rsid w:val="002A0F95"/>
    <w:rsid w:val="002A1187"/>
    <w:rsid w:val="002A1288"/>
    <w:rsid w:val="002A1629"/>
    <w:rsid w:val="002A16AA"/>
    <w:rsid w:val="002A1C41"/>
    <w:rsid w:val="002A27A8"/>
    <w:rsid w:val="002A293C"/>
    <w:rsid w:val="002A2E77"/>
    <w:rsid w:val="002A2FB6"/>
    <w:rsid w:val="002A31CB"/>
    <w:rsid w:val="002A34AF"/>
    <w:rsid w:val="002A3FC5"/>
    <w:rsid w:val="002A4234"/>
    <w:rsid w:val="002A44BD"/>
    <w:rsid w:val="002A4FAB"/>
    <w:rsid w:val="002A50D0"/>
    <w:rsid w:val="002A525F"/>
    <w:rsid w:val="002A57B8"/>
    <w:rsid w:val="002A586F"/>
    <w:rsid w:val="002A5BBB"/>
    <w:rsid w:val="002A6872"/>
    <w:rsid w:val="002A6ED2"/>
    <w:rsid w:val="002A7210"/>
    <w:rsid w:val="002A7889"/>
    <w:rsid w:val="002A7FCA"/>
    <w:rsid w:val="002B015B"/>
    <w:rsid w:val="002B0B22"/>
    <w:rsid w:val="002B0E8E"/>
    <w:rsid w:val="002B0EA6"/>
    <w:rsid w:val="002B1059"/>
    <w:rsid w:val="002B129B"/>
    <w:rsid w:val="002B17F0"/>
    <w:rsid w:val="002B1A9B"/>
    <w:rsid w:val="002B1CE2"/>
    <w:rsid w:val="002B299E"/>
    <w:rsid w:val="002B2D49"/>
    <w:rsid w:val="002B2F8A"/>
    <w:rsid w:val="002B3C99"/>
    <w:rsid w:val="002B3D6E"/>
    <w:rsid w:val="002B3D74"/>
    <w:rsid w:val="002B3FAA"/>
    <w:rsid w:val="002B40B7"/>
    <w:rsid w:val="002B4B14"/>
    <w:rsid w:val="002B4B1B"/>
    <w:rsid w:val="002B4D20"/>
    <w:rsid w:val="002B5378"/>
    <w:rsid w:val="002B5B6A"/>
    <w:rsid w:val="002B644A"/>
    <w:rsid w:val="002B65E9"/>
    <w:rsid w:val="002B7333"/>
    <w:rsid w:val="002B7335"/>
    <w:rsid w:val="002C037D"/>
    <w:rsid w:val="002C07F1"/>
    <w:rsid w:val="002C0AA1"/>
    <w:rsid w:val="002C0B87"/>
    <w:rsid w:val="002C0CE7"/>
    <w:rsid w:val="002C0EFF"/>
    <w:rsid w:val="002C1A53"/>
    <w:rsid w:val="002C1FD0"/>
    <w:rsid w:val="002C2866"/>
    <w:rsid w:val="002C2BAC"/>
    <w:rsid w:val="002C2F44"/>
    <w:rsid w:val="002C2FCB"/>
    <w:rsid w:val="002C33A0"/>
    <w:rsid w:val="002C370A"/>
    <w:rsid w:val="002C3860"/>
    <w:rsid w:val="002C3CA6"/>
    <w:rsid w:val="002C3E02"/>
    <w:rsid w:val="002C4EF5"/>
    <w:rsid w:val="002C59F7"/>
    <w:rsid w:val="002C635D"/>
    <w:rsid w:val="002C6AC5"/>
    <w:rsid w:val="002C6F02"/>
    <w:rsid w:val="002C75AB"/>
    <w:rsid w:val="002C75BE"/>
    <w:rsid w:val="002C7A02"/>
    <w:rsid w:val="002C7CCF"/>
    <w:rsid w:val="002C7D30"/>
    <w:rsid w:val="002D01EF"/>
    <w:rsid w:val="002D0452"/>
    <w:rsid w:val="002D098A"/>
    <w:rsid w:val="002D0A33"/>
    <w:rsid w:val="002D0F80"/>
    <w:rsid w:val="002D1249"/>
    <w:rsid w:val="002D12DE"/>
    <w:rsid w:val="002D1CD5"/>
    <w:rsid w:val="002D276E"/>
    <w:rsid w:val="002D2B0F"/>
    <w:rsid w:val="002D2B67"/>
    <w:rsid w:val="002D2C5E"/>
    <w:rsid w:val="002D437D"/>
    <w:rsid w:val="002D4E3D"/>
    <w:rsid w:val="002D52AF"/>
    <w:rsid w:val="002D53BB"/>
    <w:rsid w:val="002D570D"/>
    <w:rsid w:val="002D696F"/>
    <w:rsid w:val="002D6A1C"/>
    <w:rsid w:val="002D6D44"/>
    <w:rsid w:val="002D7206"/>
    <w:rsid w:val="002D7328"/>
    <w:rsid w:val="002D734D"/>
    <w:rsid w:val="002D7354"/>
    <w:rsid w:val="002D73F5"/>
    <w:rsid w:val="002D7415"/>
    <w:rsid w:val="002D793F"/>
    <w:rsid w:val="002D799C"/>
    <w:rsid w:val="002D7AA7"/>
    <w:rsid w:val="002D7BC5"/>
    <w:rsid w:val="002D7E06"/>
    <w:rsid w:val="002D7E35"/>
    <w:rsid w:val="002E08BB"/>
    <w:rsid w:val="002E0A8A"/>
    <w:rsid w:val="002E1EEA"/>
    <w:rsid w:val="002E280A"/>
    <w:rsid w:val="002E2AFE"/>
    <w:rsid w:val="002E2E52"/>
    <w:rsid w:val="002E3195"/>
    <w:rsid w:val="002E36B9"/>
    <w:rsid w:val="002E3754"/>
    <w:rsid w:val="002E3938"/>
    <w:rsid w:val="002E4A0C"/>
    <w:rsid w:val="002E4E84"/>
    <w:rsid w:val="002E4F7C"/>
    <w:rsid w:val="002E5054"/>
    <w:rsid w:val="002E54E4"/>
    <w:rsid w:val="002E54EC"/>
    <w:rsid w:val="002E600B"/>
    <w:rsid w:val="002E61A4"/>
    <w:rsid w:val="002E62B1"/>
    <w:rsid w:val="002E63AF"/>
    <w:rsid w:val="002E658A"/>
    <w:rsid w:val="002E67CC"/>
    <w:rsid w:val="002E6BC0"/>
    <w:rsid w:val="002E6FD3"/>
    <w:rsid w:val="002E75E9"/>
    <w:rsid w:val="002E7813"/>
    <w:rsid w:val="002E799F"/>
    <w:rsid w:val="002F0478"/>
    <w:rsid w:val="002F06B8"/>
    <w:rsid w:val="002F0896"/>
    <w:rsid w:val="002F08A2"/>
    <w:rsid w:val="002F08F8"/>
    <w:rsid w:val="002F110C"/>
    <w:rsid w:val="002F1433"/>
    <w:rsid w:val="002F1A66"/>
    <w:rsid w:val="002F1C9B"/>
    <w:rsid w:val="002F2FE6"/>
    <w:rsid w:val="002F30F1"/>
    <w:rsid w:val="002F3909"/>
    <w:rsid w:val="002F39D7"/>
    <w:rsid w:val="002F3D34"/>
    <w:rsid w:val="002F3F9F"/>
    <w:rsid w:val="002F4372"/>
    <w:rsid w:val="002F440B"/>
    <w:rsid w:val="002F467E"/>
    <w:rsid w:val="002F47B6"/>
    <w:rsid w:val="002F4B92"/>
    <w:rsid w:val="002F4FED"/>
    <w:rsid w:val="002F500C"/>
    <w:rsid w:val="002F5188"/>
    <w:rsid w:val="002F5469"/>
    <w:rsid w:val="002F55A9"/>
    <w:rsid w:val="002F5653"/>
    <w:rsid w:val="002F6047"/>
    <w:rsid w:val="002F6BC4"/>
    <w:rsid w:val="002F6D61"/>
    <w:rsid w:val="002F7346"/>
    <w:rsid w:val="002F7362"/>
    <w:rsid w:val="002F79F3"/>
    <w:rsid w:val="002F7EAA"/>
    <w:rsid w:val="002F7F41"/>
    <w:rsid w:val="00301735"/>
    <w:rsid w:val="003019B5"/>
    <w:rsid w:val="003019C3"/>
    <w:rsid w:val="003019F6"/>
    <w:rsid w:val="00301BA6"/>
    <w:rsid w:val="00302004"/>
    <w:rsid w:val="00302723"/>
    <w:rsid w:val="0030277A"/>
    <w:rsid w:val="00302854"/>
    <w:rsid w:val="00302EC6"/>
    <w:rsid w:val="003031B2"/>
    <w:rsid w:val="00303476"/>
    <w:rsid w:val="00303945"/>
    <w:rsid w:val="00303E19"/>
    <w:rsid w:val="00303E9D"/>
    <w:rsid w:val="0030483F"/>
    <w:rsid w:val="00304992"/>
    <w:rsid w:val="00304CD3"/>
    <w:rsid w:val="003053F9"/>
    <w:rsid w:val="0030548C"/>
    <w:rsid w:val="003058A1"/>
    <w:rsid w:val="00306175"/>
    <w:rsid w:val="00306E07"/>
    <w:rsid w:val="003072FA"/>
    <w:rsid w:val="00307C8F"/>
    <w:rsid w:val="0031012F"/>
    <w:rsid w:val="003106D2"/>
    <w:rsid w:val="003109A7"/>
    <w:rsid w:val="00311035"/>
    <w:rsid w:val="003110FD"/>
    <w:rsid w:val="003113DA"/>
    <w:rsid w:val="00311403"/>
    <w:rsid w:val="003114B1"/>
    <w:rsid w:val="003125D4"/>
    <w:rsid w:val="00312A34"/>
    <w:rsid w:val="0031311A"/>
    <w:rsid w:val="003134A1"/>
    <w:rsid w:val="003134A3"/>
    <w:rsid w:val="00313878"/>
    <w:rsid w:val="003141D9"/>
    <w:rsid w:val="0031429E"/>
    <w:rsid w:val="00314722"/>
    <w:rsid w:val="0031499B"/>
    <w:rsid w:val="00314AB7"/>
    <w:rsid w:val="003157F2"/>
    <w:rsid w:val="00315925"/>
    <w:rsid w:val="003160C0"/>
    <w:rsid w:val="00316254"/>
    <w:rsid w:val="0031628A"/>
    <w:rsid w:val="003168F5"/>
    <w:rsid w:val="00316C48"/>
    <w:rsid w:val="003171C0"/>
    <w:rsid w:val="003176E8"/>
    <w:rsid w:val="0031774A"/>
    <w:rsid w:val="00317A7C"/>
    <w:rsid w:val="00317DC8"/>
    <w:rsid w:val="00320385"/>
    <w:rsid w:val="0032048F"/>
    <w:rsid w:val="00320825"/>
    <w:rsid w:val="00320CF5"/>
    <w:rsid w:val="003214EA"/>
    <w:rsid w:val="00321740"/>
    <w:rsid w:val="003218F4"/>
    <w:rsid w:val="00321EEF"/>
    <w:rsid w:val="00322107"/>
    <w:rsid w:val="003222D1"/>
    <w:rsid w:val="003223DD"/>
    <w:rsid w:val="0032252C"/>
    <w:rsid w:val="00322DF4"/>
    <w:rsid w:val="0032315E"/>
    <w:rsid w:val="00323250"/>
    <w:rsid w:val="0032335E"/>
    <w:rsid w:val="003234DD"/>
    <w:rsid w:val="0032353A"/>
    <w:rsid w:val="00323547"/>
    <w:rsid w:val="0032373B"/>
    <w:rsid w:val="003237F4"/>
    <w:rsid w:val="00323801"/>
    <w:rsid w:val="00323B2A"/>
    <w:rsid w:val="00323C5A"/>
    <w:rsid w:val="00323D6B"/>
    <w:rsid w:val="00323D78"/>
    <w:rsid w:val="00323EB0"/>
    <w:rsid w:val="003240B1"/>
    <w:rsid w:val="0032423F"/>
    <w:rsid w:val="00324390"/>
    <w:rsid w:val="0032463F"/>
    <w:rsid w:val="0032490F"/>
    <w:rsid w:val="0032511F"/>
    <w:rsid w:val="00325172"/>
    <w:rsid w:val="003254DB"/>
    <w:rsid w:val="00325994"/>
    <w:rsid w:val="00325B31"/>
    <w:rsid w:val="003262ED"/>
    <w:rsid w:val="0032646D"/>
    <w:rsid w:val="00326606"/>
    <w:rsid w:val="00326DC0"/>
    <w:rsid w:val="00326DD6"/>
    <w:rsid w:val="00326EB1"/>
    <w:rsid w:val="00327110"/>
    <w:rsid w:val="00327436"/>
    <w:rsid w:val="00327868"/>
    <w:rsid w:val="00327C3C"/>
    <w:rsid w:val="00330561"/>
    <w:rsid w:val="0033057A"/>
    <w:rsid w:val="00330912"/>
    <w:rsid w:val="00330BEF"/>
    <w:rsid w:val="0033136E"/>
    <w:rsid w:val="003315C3"/>
    <w:rsid w:val="003316BD"/>
    <w:rsid w:val="00331859"/>
    <w:rsid w:val="00331B49"/>
    <w:rsid w:val="00331FB6"/>
    <w:rsid w:val="0033277F"/>
    <w:rsid w:val="003327B6"/>
    <w:rsid w:val="00332908"/>
    <w:rsid w:val="00332BFA"/>
    <w:rsid w:val="00332DD8"/>
    <w:rsid w:val="0033346E"/>
    <w:rsid w:val="00333845"/>
    <w:rsid w:val="00333EBE"/>
    <w:rsid w:val="00334230"/>
    <w:rsid w:val="0033435A"/>
    <w:rsid w:val="00334416"/>
    <w:rsid w:val="0033477F"/>
    <w:rsid w:val="0033483B"/>
    <w:rsid w:val="00335A45"/>
    <w:rsid w:val="00335B44"/>
    <w:rsid w:val="00335CAF"/>
    <w:rsid w:val="00335D0E"/>
    <w:rsid w:val="003364FC"/>
    <w:rsid w:val="00336549"/>
    <w:rsid w:val="003369D9"/>
    <w:rsid w:val="00336E05"/>
    <w:rsid w:val="003373AB"/>
    <w:rsid w:val="003373DE"/>
    <w:rsid w:val="00337F2C"/>
    <w:rsid w:val="00337FB6"/>
    <w:rsid w:val="00340205"/>
    <w:rsid w:val="00340C6F"/>
    <w:rsid w:val="00340FB8"/>
    <w:rsid w:val="00341074"/>
    <w:rsid w:val="00341417"/>
    <w:rsid w:val="003416CD"/>
    <w:rsid w:val="0034170A"/>
    <w:rsid w:val="00341C40"/>
    <w:rsid w:val="00341C77"/>
    <w:rsid w:val="00341CBA"/>
    <w:rsid w:val="00342401"/>
    <w:rsid w:val="00342605"/>
    <w:rsid w:val="00343042"/>
    <w:rsid w:val="00343B97"/>
    <w:rsid w:val="00343F0B"/>
    <w:rsid w:val="00345027"/>
    <w:rsid w:val="003452F4"/>
    <w:rsid w:val="00345569"/>
    <w:rsid w:val="00345BEA"/>
    <w:rsid w:val="00345D36"/>
    <w:rsid w:val="00345DB0"/>
    <w:rsid w:val="0034656E"/>
    <w:rsid w:val="003472D9"/>
    <w:rsid w:val="00347C98"/>
    <w:rsid w:val="00347F6E"/>
    <w:rsid w:val="00350B07"/>
    <w:rsid w:val="00351615"/>
    <w:rsid w:val="00351689"/>
    <w:rsid w:val="00351EC0"/>
    <w:rsid w:val="00351F70"/>
    <w:rsid w:val="00352101"/>
    <w:rsid w:val="00352287"/>
    <w:rsid w:val="0035235A"/>
    <w:rsid w:val="0035235B"/>
    <w:rsid w:val="00352731"/>
    <w:rsid w:val="003527DB"/>
    <w:rsid w:val="003529A0"/>
    <w:rsid w:val="00353180"/>
    <w:rsid w:val="00354C0B"/>
    <w:rsid w:val="003550F1"/>
    <w:rsid w:val="0035530C"/>
    <w:rsid w:val="003555C2"/>
    <w:rsid w:val="00355A87"/>
    <w:rsid w:val="00355B3E"/>
    <w:rsid w:val="00355F80"/>
    <w:rsid w:val="00356019"/>
    <w:rsid w:val="0035690A"/>
    <w:rsid w:val="00356AE1"/>
    <w:rsid w:val="00356C99"/>
    <w:rsid w:val="0035751D"/>
    <w:rsid w:val="0035787A"/>
    <w:rsid w:val="00357C6C"/>
    <w:rsid w:val="003608EC"/>
    <w:rsid w:val="00360C72"/>
    <w:rsid w:val="0036148B"/>
    <w:rsid w:val="003615CC"/>
    <w:rsid w:val="00362208"/>
    <w:rsid w:val="003623E7"/>
    <w:rsid w:val="00362662"/>
    <w:rsid w:val="00362702"/>
    <w:rsid w:val="003627AA"/>
    <w:rsid w:val="0036284F"/>
    <w:rsid w:val="00362B3D"/>
    <w:rsid w:val="00362C1F"/>
    <w:rsid w:val="003634E4"/>
    <w:rsid w:val="00363851"/>
    <w:rsid w:val="003639B5"/>
    <w:rsid w:val="00363C08"/>
    <w:rsid w:val="00363D67"/>
    <w:rsid w:val="00363E08"/>
    <w:rsid w:val="0036413D"/>
    <w:rsid w:val="00364B2B"/>
    <w:rsid w:val="00364E3E"/>
    <w:rsid w:val="00364E77"/>
    <w:rsid w:val="00365CE7"/>
    <w:rsid w:val="003667E7"/>
    <w:rsid w:val="00366800"/>
    <w:rsid w:val="0036689C"/>
    <w:rsid w:val="00366BFF"/>
    <w:rsid w:val="003670B8"/>
    <w:rsid w:val="0036731A"/>
    <w:rsid w:val="0036731D"/>
    <w:rsid w:val="0036793D"/>
    <w:rsid w:val="00367956"/>
    <w:rsid w:val="00367AE0"/>
    <w:rsid w:val="00367B7D"/>
    <w:rsid w:val="00367E6C"/>
    <w:rsid w:val="00367F7E"/>
    <w:rsid w:val="003705B5"/>
    <w:rsid w:val="00370A2A"/>
    <w:rsid w:val="00370A7E"/>
    <w:rsid w:val="00371A2C"/>
    <w:rsid w:val="00371D18"/>
    <w:rsid w:val="0037228A"/>
    <w:rsid w:val="003728B3"/>
    <w:rsid w:val="00372B73"/>
    <w:rsid w:val="00372D1C"/>
    <w:rsid w:val="00372D90"/>
    <w:rsid w:val="0037329F"/>
    <w:rsid w:val="0037347A"/>
    <w:rsid w:val="00373495"/>
    <w:rsid w:val="0037359B"/>
    <w:rsid w:val="00373626"/>
    <w:rsid w:val="00373A42"/>
    <w:rsid w:val="00373B19"/>
    <w:rsid w:val="00373C0A"/>
    <w:rsid w:val="00373FFE"/>
    <w:rsid w:val="00374E19"/>
    <w:rsid w:val="00374F86"/>
    <w:rsid w:val="003750AB"/>
    <w:rsid w:val="00375696"/>
    <w:rsid w:val="00375B49"/>
    <w:rsid w:val="003761E1"/>
    <w:rsid w:val="00376D61"/>
    <w:rsid w:val="00376FDA"/>
    <w:rsid w:val="00377098"/>
    <w:rsid w:val="003773AC"/>
    <w:rsid w:val="0037797D"/>
    <w:rsid w:val="00380071"/>
    <w:rsid w:val="00380210"/>
    <w:rsid w:val="0038048A"/>
    <w:rsid w:val="00380885"/>
    <w:rsid w:val="00380AA3"/>
    <w:rsid w:val="00380BD0"/>
    <w:rsid w:val="00381047"/>
    <w:rsid w:val="00381FF0"/>
    <w:rsid w:val="0038203B"/>
    <w:rsid w:val="00382085"/>
    <w:rsid w:val="0038313E"/>
    <w:rsid w:val="0038328C"/>
    <w:rsid w:val="00383374"/>
    <w:rsid w:val="003833B6"/>
    <w:rsid w:val="00383428"/>
    <w:rsid w:val="003838C6"/>
    <w:rsid w:val="00384773"/>
    <w:rsid w:val="00384A65"/>
    <w:rsid w:val="00384B14"/>
    <w:rsid w:val="00384B7F"/>
    <w:rsid w:val="00384DE7"/>
    <w:rsid w:val="00385748"/>
    <w:rsid w:val="003867B3"/>
    <w:rsid w:val="003867E9"/>
    <w:rsid w:val="00386AC6"/>
    <w:rsid w:val="00386AE4"/>
    <w:rsid w:val="00387077"/>
    <w:rsid w:val="00387103"/>
    <w:rsid w:val="00387799"/>
    <w:rsid w:val="0038795A"/>
    <w:rsid w:val="0039012A"/>
    <w:rsid w:val="00390B1A"/>
    <w:rsid w:val="00390DD0"/>
    <w:rsid w:val="00390E92"/>
    <w:rsid w:val="00390FDD"/>
    <w:rsid w:val="0039106C"/>
    <w:rsid w:val="003912E0"/>
    <w:rsid w:val="00391438"/>
    <w:rsid w:val="0039187B"/>
    <w:rsid w:val="00391B32"/>
    <w:rsid w:val="003923A2"/>
    <w:rsid w:val="0039273D"/>
    <w:rsid w:val="00392DB8"/>
    <w:rsid w:val="00393516"/>
    <w:rsid w:val="0039370C"/>
    <w:rsid w:val="0039373C"/>
    <w:rsid w:val="00393F1A"/>
    <w:rsid w:val="003940BB"/>
    <w:rsid w:val="0039431D"/>
    <w:rsid w:val="0039507B"/>
    <w:rsid w:val="00395292"/>
    <w:rsid w:val="00395684"/>
    <w:rsid w:val="003962E3"/>
    <w:rsid w:val="00396706"/>
    <w:rsid w:val="00396F95"/>
    <w:rsid w:val="0039731D"/>
    <w:rsid w:val="0039765A"/>
    <w:rsid w:val="00397C50"/>
    <w:rsid w:val="003A0B0E"/>
    <w:rsid w:val="003A0D41"/>
    <w:rsid w:val="003A0DA2"/>
    <w:rsid w:val="003A13BE"/>
    <w:rsid w:val="003A13FA"/>
    <w:rsid w:val="003A153F"/>
    <w:rsid w:val="003A17CC"/>
    <w:rsid w:val="003A17FE"/>
    <w:rsid w:val="003A18A3"/>
    <w:rsid w:val="003A18CE"/>
    <w:rsid w:val="003A1A3C"/>
    <w:rsid w:val="003A1EF7"/>
    <w:rsid w:val="003A2106"/>
    <w:rsid w:val="003A24FD"/>
    <w:rsid w:val="003A25B9"/>
    <w:rsid w:val="003A2B41"/>
    <w:rsid w:val="003A2F5A"/>
    <w:rsid w:val="003A3009"/>
    <w:rsid w:val="003A3027"/>
    <w:rsid w:val="003A330F"/>
    <w:rsid w:val="003A375B"/>
    <w:rsid w:val="003A3B57"/>
    <w:rsid w:val="003A3CF5"/>
    <w:rsid w:val="003A45DF"/>
    <w:rsid w:val="003A4860"/>
    <w:rsid w:val="003A49C9"/>
    <w:rsid w:val="003A4C31"/>
    <w:rsid w:val="003A4FFF"/>
    <w:rsid w:val="003A5606"/>
    <w:rsid w:val="003A56F7"/>
    <w:rsid w:val="003A5B29"/>
    <w:rsid w:val="003A6043"/>
    <w:rsid w:val="003A6A30"/>
    <w:rsid w:val="003A6A82"/>
    <w:rsid w:val="003A6F1B"/>
    <w:rsid w:val="003A6F44"/>
    <w:rsid w:val="003A6FB5"/>
    <w:rsid w:val="003B01B5"/>
    <w:rsid w:val="003B0457"/>
    <w:rsid w:val="003B0557"/>
    <w:rsid w:val="003B0830"/>
    <w:rsid w:val="003B093D"/>
    <w:rsid w:val="003B0BCF"/>
    <w:rsid w:val="003B0D65"/>
    <w:rsid w:val="003B14A0"/>
    <w:rsid w:val="003B189E"/>
    <w:rsid w:val="003B1D74"/>
    <w:rsid w:val="003B2052"/>
    <w:rsid w:val="003B206D"/>
    <w:rsid w:val="003B25D7"/>
    <w:rsid w:val="003B2627"/>
    <w:rsid w:val="003B273D"/>
    <w:rsid w:val="003B2926"/>
    <w:rsid w:val="003B317D"/>
    <w:rsid w:val="003B325B"/>
    <w:rsid w:val="003B3A18"/>
    <w:rsid w:val="003B4535"/>
    <w:rsid w:val="003B4876"/>
    <w:rsid w:val="003B525C"/>
    <w:rsid w:val="003B52FC"/>
    <w:rsid w:val="003B5850"/>
    <w:rsid w:val="003B594E"/>
    <w:rsid w:val="003B5B81"/>
    <w:rsid w:val="003B5B8C"/>
    <w:rsid w:val="003B6292"/>
    <w:rsid w:val="003B6BE2"/>
    <w:rsid w:val="003B7AF7"/>
    <w:rsid w:val="003B7FEA"/>
    <w:rsid w:val="003C0158"/>
    <w:rsid w:val="003C0B2A"/>
    <w:rsid w:val="003C127C"/>
    <w:rsid w:val="003C15E5"/>
    <w:rsid w:val="003C1BF6"/>
    <w:rsid w:val="003C2382"/>
    <w:rsid w:val="003C24A3"/>
    <w:rsid w:val="003C26DD"/>
    <w:rsid w:val="003C2789"/>
    <w:rsid w:val="003C2819"/>
    <w:rsid w:val="003C33B2"/>
    <w:rsid w:val="003C3551"/>
    <w:rsid w:val="003C3806"/>
    <w:rsid w:val="003C3B12"/>
    <w:rsid w:val="003C3BBC"/>
    <w:rsid w:val="003C3D16"/>
    <w:rsid w:val="003C3FBA"/>
    <w:rsid w:val="003C429C"/>
    <w:rsid w:val="003C45A9"/>
    <w:rsid w:val="003C46B0"/>
    <w:rsid w:val="003C48CF"/>
    <w:rsid w:val="003C50E4"/>
    <w:rsid w:val="003C5310"/>
    <w:rsid w:val="003C5C90"/>
    <w:rsid w:val="003C5D46"/>
    <w:rsid w:val="003C650D"/>
    <w:rsid w:val="003C680B"/>
    <w:rsid w:val="003C6822"/>
    <w:rsid w:val="003C6C42"/>
    <w:rsid w:val="003C6FDD"/>
    <w:rsid w:val="003C71A9"/>
    <w:rsid w:val="003C7574"/>
    <w:rsid w:val="003C79F1"/>
    <w:rsid w:val="003D0037"/>
    <w:rsid w:val="003D010D"/>
    <w:rsid w:val="003D0590"/>
    <w:rsid w:val="003D12C2"/>
    <w:rsid w:val="003D1FBB"/>
    <w:rsid w:val="003D2177"/>
    <w:rsid w:val="003D224A"/>
    <w:rsid w:val="003D24B9"/>
    <w:rsid w:val="003D2974"/>
    <w:rsid w:val="003D303A"/>
    <w:rsid w:val="003D366F"/>
    <w:rsid w:val="003D3C97"/>
    <w:rsid w:val="003D44B7"/>
    <w:rsid w:val="003D49E3"/>
    <w:rsid w:val="003D50A3"/>
    <w:rsid w:val="003D5BF6"/>
    <w:rsid w:val="003D5D44"/>
    <w:rsid w:val="003D6793"/>
    <w:rsid w:val="003D6882"/>
    <w:rsid w:val="003D6A2E"/>
    <w:rsid w:val="003D6E1D"/>
    <w:rsid w:val="003D70B0"/>
    <w:rsid w:val="003D716A"/>
    <w:rsid w:val="003E0924"/>
    <w:rsid w:val="003E0A23"/>
    <w:rsid w:val="003E0F42"/>
    <w:rsid w:val="003E1AFC"/>
    <w:rsid w:val="003E20A1"/>
    <w:rsid w:val="003E20E7"/>
    <w:rsid w:val="003E2307"/>
    <w:rsid w:val="003E2581"/>
    <w:rsid w:val="003E262E"/>
    <w:rsid w:val="003E275F"/>
    <w:rsid w:val="003E29C5"/>
    <w:rsid w:val="003E2E2D"/>
    <w:rsid w:val="003E30BB"/>
    <w:rsid w:val="003E3195"/>
    <w:rsid w:val="003E31A7"/>
    <w:rsid w:val="003E3B90"/>
    <w:rsid w:val="003E3BB6"/>
    <w:rsid w:val="003E3F86"/>
    <w:rsid w:val="003E3FDD"/>
    <w:rsid w:val="003E41F6"/>
    <w:rsid w:val="003E44B0"/>
    <w:rsid w:val="003E48E7"/>
    <w:rsid w:val="003E4AA8"/>
    <w:rsid w:val="003E4B9B"/>
    <w:rsid w:val="003E53AD"/>
    <w:rsid w:val="003E5519"/>
    <w:rsid w:val="003E5B31"/>
    <w:rsid w:val="003E5CB6"/>
    <w:rsid w:val="003E5E1B"/>
    <w:rsid w:val="003E5EA8"/>
    <w:rsid w:val="003E6829"/>
    <w:rsid w:val="003E6E01"/>
    <w:rsid w:val="003E7250"/>
    <w:rsid w:val="003E7552"/>
    <w:rsid w:val="003E768E"/>
    <w:rsid w:val="003E7763"/>
    <w:rsid w:val="003E78AA"/>
    <w:rsid w:val="003E79A9"/>
    <w:rsid w:val="003E7A7D"/>
    <w:rsid w:val="003F004D"/>
    <w:rsid w:val="003F0317"/>
    <w:rsid w:val="003F0439"/>
    <w:rsid w:val="003F0F27"/>
    <w:rsid w:val="003F12DB"/>
    <w:rsid w:val="003F1CA7"/>
    <w:rsid w:val="003F1D1B"/>
    <w:rsid w:val="003F210A"/>
    <w:rsid w:val="003F2490"/>
    <w:rsid w:val="003F29A3"/>
    <w:rsid w:val="003F32EA"/>
    <w:rsid w:val="003F3516"/>
    <w:rsid w:val="003F3FB9"/>
    <w:rsid w:val="003F423F"/>
    <w:rsid w:val="003F5203"/>
    <w:rsid w:val="003F53BB"/>
    <w:rsid w:val="003F53BC"/>
    <w:rsid w:val="003F5444"/>
    <w:rsid w:val="003F5EB8"/>
    <w:rsid w:val="003F638B"/>
    <w:rsid w:val="003F6398"/>
    <w:rsid w:val="003F65D2"/>
    <w:rsid w:val="003F7075"/>
    <w:rsid w:val="003F7085"/>
    <w:rsid w:val="003F725E"/>
    <w:rsid w:val="003F7E04"/>
    <w:rsid w:val="00400683"/>
    <w:rsid w:val="004012DD"/>
    <w:rsid w:val="00401F1B"/>
    <w:rsid w:val="00401F87"/>
    <w:rsid w:val="00402491"/>
    <w:rsid w:val="0040254E"/>
    <w:rsid w:val="0040258F"/>
    <w:rsid w:val="00402798"/>
    <w:rsid w:val="004028CB"/>
    <w:rsid w:val="00402BC0"/>
    <w:rsid w:val="00403087"/>
    <w:rsid w:val="004031AE"/>
    <w:rsid w:val="00403286"/>
    <w:rsid w:val="00403985"/>
    <w:rsid w:val="00403D53"/>
    <w:rsid w:val="00403F9E"/>
    <w:rsid w:val="00404492"/>
    <w:rsid w:val="004048DF"/>
    <w:rsid w:val="00404A3E"/>
    <w:rsid w:val="004053EB"/>
    <w:rsid w:val="004054E0"/>
    <w:rsid w:val="00406007"/>
    <w:rsid w:val="00406297"/>
    <w:rsid w:val="00406F98"/>
    <w:rsid w:val="004070B3"/>
    <w:rsid w:val="00407195"/>
    <w:rsid w:val="0040731B"/>
    <w:rsid w:val="00407651"/>
    <w:rsid w:val="00407936"/>
    <w:rsid w:val="00407B8B"/>
    <w:rsid w:val="00407CA0"/>
    <w:rsid w:val="00410518"/>
    <w:rsid w:val="00410ACA"/>
    <w:rsid w:val="00410C46"/>
    <w:rsid w:val="004122AA"/>
    <w:rsid w:val="004123B2"/>
    <w:rsid w:val="004123FA"/>
    <w:rsid w:val="004126D2"/>
    <w:rsid w:val="004127D8"/>
    <w:rsid w:val="00412EC4"/>
    <w:rsid w:val="0041301F"/>
    <w:rsid w:val="00413303"/>
    <w:rsid w:val="0041337C"/>
    <w:rsid w:val="00413500"/>
    <w:rsid w:val="00413534"/>
    <w:rsid w:val="0041366D"/>
    <w:rsid w:val="00413701"/>
    <w:rsid w:val="00413A1F"/>
    <w:rsid w:val="00413D63"/>
    <w:rsid w:val="00414403"/>
    <w:rsid w:val="00414A96"/>
    <w:rsid w:val="00414DBF"/>
    <w:rsid w:val="00414EE8"/>
    <w:rsid w:val="00415666"/>
    <w:rsid w:val="00415C11"/>
    <w:rsid w:val="00415D94"/>
    <w:rsid w:val="00416149"/>
    <w:rsid w:val="00416B1A"/>
    <w:rsid w:val="00417092"/>
    <w:rsid w:val="0041755E"/>
    <w:rsid w:val="00417A71"/>
    <w:rsid w:val="00417A83"/>
    <w:rsid w:val="00417CC0"/>
    <w:rsid w:val="004201BE"/>
    <w:rsid w:val="004203BA"/>
    <w:rsid w:val="004204F3"/>
    <w:rsid w:val="0042051F"/>
    <w:rsid w:val="00420B0D"/>
    <w:rsid w:val="00420E81"/>
    <w:rsid w:val="00421793"/>
    <w:rsid w:val="004219B8"/>
    <w:rsid w:val="004219FD"/>
    <w:rsid w:val="00421AD4"/>
    <w:rsid w:val="00421D5C"/>
    <w:rsid w:val="00421DDA"/>
    <w:rsid w:val="00422159"/>
    <w:rsid w:val="004225BB"/>
    <w:rsid w:val="004228F3"/>
    <w:rsid w:val="00422A48"/>
    <w:rsid w:val="00422AFD"/>
    <w:rsid w:val="00422FC3"/>
    <w:rsid w:val="00423433"/>
    <w:rsid w:val="004238F2"/>
    <w:rsid w:val="00423AEF"/>
    <w:rsid w:val="00424420"/>
    <w:rsid w:val="0042460D"/>
    <w:rsid w:val="00424781"/>
    <w:rsid w:val="00424918"/>
    <w:rsid w:val="00424A3A"/>
    <w:rsid w:val="00424DF9"/>
    <w:rsid w:val="0042507B"/>
    <w:rsid w:val="004257A7"/>
    <w:rsid w:val="00425DE6"/>
    <w:rsid w:val="00426416"/>
    <w:rsid w:val="0042650D"/>
    <w:rsid w:val="0042666D"/>
    <w:rsid w:val="004267B7"/>
    <w:rsid w:val="00426CF8"/>
    <w:rsid w:val="00427138"/>
    <w:rsid w:val="0042765A"/>
    <w:rsid w:val="00427744"/>
    <w:rsid w:val="00427D79"/>
    <w:rsid w:val="00430A85"/>
    <w:rsid w:val="00430B11"/>
    <w:rsid w:val="00430E0B"/>
    <w:rsid w:val="00431504"/>
    <w:rsid w:val="00431A88"/>
    <w:rsid w:val="00431EFF"/>
    <w:rsid w:val="004321D5"/>
    <w:rsid w:val="0043250F"/>
    <w:rsid w:val="00432A40"/>
    <w:rsid w:val="00432FC6"/>
    <w:rsid w:val="004330AB"/>
    <w:rsid w:val="00433E3D"/>
    <w:rsid w:val="0043450C"/>
    <w:rsid w:val="00434615"/>
    <w:rsid w:val="0043470D"/>
    <w:rsid w:val="00434913"/>
    <w:rsid w:val="00434A66"/>
    <w:rsid w:val="00434B56"/>
    <w:rsid w:val="004354DB"/>
    <w:rsid w:val="00436129"/>
    <w:rsid w:val="00437989"/>
    <w:rsid w:val="0044011D"/>
    <w:rsid w:val="00440274"/>
    <w:rsid w:val="0044065F"/>
    <w:rsid w:val="0044066E"/>
    <w:rsid w:val="004407BF"/>
    <w:rsid w:val="00440B51"/>
    <w:rsid w:val="00441860"/>
    <w:rsid w:val="00441A24"/>
    <w:rsid w:val="00441C8C"/>
    <w:rsid w:val="00442AB6"/>
    <w:rsid w:val="004430CA"/>
    <w:rsid w:val="00443277"/>
    <w:rsid w:val="00443582"/>
    <w:rsid w:val="00443BBF"/>
    <w:rsid w:val="00444457"/>
    <w:rsid w:val="00444759"/>
    <w:rsid w:val="0044491F"/>
    <w:rsid w:val="00444D08"/>
    <w:rsid w:val="00444DF4"/>
    <w:rsid w:val="004451BF"/>
    <w:rsid w:val="00445F1B"/>
    <w:rsid w:val="00446209"/>
    <w:rsid w:val="00446615"/>
    <w:rsid w:val="004467E8"/>
    <w:rsid w:val="00446857"/>
    <w:rsid w:val="004468EB"/>
    <w:rsid w:val="00446DDC"/>
    <w:rsid w:val="00446F19"/>
    <w:rsid w:val="0044709F"/>
    <w:rsid w:val="00447352"/>
    <w:rsid w:val="0044740D"/>
    <w:rsid w:val="0044765D"/>
    <w:rsid w:val="0045009B"/>
    <w:rsid w:val="0045017A"/>
    <w:rsid w:val="0045042D"/>
    <w:rsid w:val="0045085E"/>
    <w:rsid w:val="00451313"/>
    <w:rsid w:val="004513D2"/>
    <w:rsid w:val="00451AA6"/>
    <w:rsid w:val="00451C9E"/>
    <w:rsid w:val="0045249A"/>
    <w:rsid w:val="004525D8"/>
    <w:rsid w:val="00453926"/>
    <w:rsid w:val="004539B5"/>
    <w:rsid w:val="00453C1D"/>
    <w:rsid w:val="00453C2B"/>
    <w:rsid w:val="00453DCE"/>
    <w:rsid w:val="004541AB"/>
    <w:rsid w:val="004547A3"/>
    <w:rsid w:val="004548F1"/>
    <w:rsid w:val="00455190"/>
    <w:rsid w:val="0045521E"/>
    <w:rsid w:val="00455287"/>
    <w:rsid w:val="0045558C"/>
    <w:rsid w:val="00455B2E"/>
    <w:rsid w:val="00455FAE"/>
    <w:rsid w:val="004560C2"/>
    <w:rsid w:val="004564BD"/>
    <w:rsid w:val="004564EB"/>
    <w:rsid w:val="0045685D"/>
    <w:rsid w:val="00456A35"/>
    <w:rsid w:val="00456AC6"/>
    <w:rsid w:val="00456C64"/>
    <w:rsid w:val="00457054"/>
    <w:rsid w:val="0045795D"/>
    <w:rsid w:val="00457C17"/>
    <w:rsid w:val="00457C94"/>
    <w:rsid w:val="00457EBA"/>
    <w:rsid w:val="0046036E"/>
    <w:rsid w:val="0046045C"/>
    <w:rsid w:val="004607C9"/>
    <w:rsid w:val="00460BE4"/>
    <w:rsid w:val="004624B2"/>
    <w:rsid w:val="00462764"/>
    <w:rsid w:val="00462A02"/>
    <w:rsid w:val="00462AEF"/>
    <w:rsid w:val="00462C8A"/>
    <w:rsid w:val="00462E01"/>
    <w:rsid w:val="00462F0D"/>
    <w:rsid w:val="00463145"/>
    <w:rsid w:val="004637FD"/>
    <w:rsid w:val="00463B4F"/>
    <w:rsid w:val="00463D53"/>
    <w:rsid w:val="00463E88"/>
    <w:rsid w:val="00464014"/>
    <w:rsid w:val="00464612"/>
    <w:rsid w:val="00464656"/>
    <w:rsid w:val="00464E46"/>
    <w:rsid w:val="00464F62"/>
    <w:rsid w:val="004653CA"/>
    <w:rsid w:val="00465896"/>
    <w:rsid w:val="00465A48"/>
    <w:rsid w:val="00465D01"/>
    <w:rsid w:val="00465EEA"/>
    <w:rsid w:val="00466192"/>
    <w:rsid w:val="00466639"/>
    <w:rsid w:val="004666C6"/>
    <w:rsid w:val="00466811"/>
    <w:rsid w:val="004669A8"/>
    <w:rsid w:val="004674FA"/>
    <w:rsid w:val="0046775F"/>
    <w:rsid w:val="004679BA"/>
    <w:rsid w:val="00467AE6"/>
    <w:rsid w:val="00470368"/>
    <w:rsid w:val="004706BC"/>
    <w:rsid w:val="00470C75"/>
    <w:rsid w:val="00470F47"/>
    <w:rsid w:val="00471205"/>
    <w:rsid w:val="004712F4"/>
    <w:rsid w:val="004715F6"/>
    <w:rsid w:val="0047187A"/>
    <w:rsid w:val="00471CEA"/>
    <w:rsid w:val="00471D59"/>
    <w:rsid w:val="004721FE"/>
    <w:rsid w:val="00472283"/>
    <w:rsid w:val="004726BC"/>
    <w:rsid w:val="0047309F"/>
    <w:rsid w:val="00473167"/>
    <w:rsid w:val="004737AA"/>
    <w:rsid w:val="004737E1"/>
    <w:rsid w:val="00473A44"/>
    <w:rsid w:val="00473B1C"/>
    <w:rsid w:val="004749A7"/>
    <w:rsid w:val="00474D2A"/>
    <w:rsid w:val="0047511A"/>
    <w:rsid w:val="00475978"/>
    <w:rsid w:val="00475F36"/>
    <w:rsid w:val="00476424"/>
    <w:rsid w:val="004765F6"/>
    <w:rsid w:val="00476700"/>
    <w:rsid w:val="00476B37"/>
    <w:rsid w:val="00477FFC"/>
    <w:rsid w:val="00480096"/>
    <w:rsid w:val="00480BC1"/>
    <w:rsid w:val="0048132A"/>
    <w:rsid w:val="0048190D"/>
    <w:rsid w:val="004822E8"/>
    <w:rsid w:val="00482472"/>
    <w:rsid w:val="004829CE"/>
    <w:rsid w:val="00482A1D"/>
    <w:rsid w:val="00482E79"/>
    <w:rsid w:val="00483890"/>
    <w:rsid w:val="0048401A"/>
    <w:rsid w:val="004843F3"/>
    <w:rsid w:val="00484428"/>
    <w:rsid w:val="004848A1"/>
    <w:rsid w:val="00484AEA"/>
    <w:rsid w:val="00484B4C"/>
    <w:rsid w:val="00484C15"/>
    <w:rsid w:val="00484D60"/>
    <w:rsid w:val="004852DB"/>
    <w:rsid w:val="00485453"/>
    <w:rsid w:val="00485641"/>
    <w:rsid w:val="00485B9C"/>
    <w:rsid w:val="00485F1E"/>
    <w:rsid w:val="00486EDC"/>
    <w:rsid w:val="00486F90"/>
    <w:rsid w:val="004870B8"/>
    <w:rsid w:val="00487B91"/>
    <w:rsid w:val="00490393"/>
    <w:rsid w:val="00490958"/>
    <w:rsid w:val="00490B05"/>
    <w:rsid w:val="00491451"/>
    <w:rsid w:val="00491485"/>
    <w:rsid w:val="004916C5"/>
    <w:rsid w:val="00491BFB"/>
    <w:rsid w:val="00492733"/>
    <w:rsid w:val="00492DF7"/>
    <w:rsid w:val="00492EE3"/>
    <w:rsid w:val="00493141"/>
    <w:rsid w:val="0049337E"/>
    <w:rsid w:val="004937AD"/>
    <w:rsid w:val="00493D65"/>
    <w:rsid w:val="00493D8F"/>
    <w:rsid w:val="00493DE0"/>
    <w:rsid w:val="004942D1"/>
    <w:rsid w:val="00494501"/>
    <w:rsid w:val="00495187"/>
    <w:rsid w:val="00495478"/>
    <w:rsid w:val="00495BB5"/>
    <w:rsid w:val="00495E91"/>
    <w:rsid w:val="004967D7"/>
    <w:rsid w:val="00496C1D"/>
    <w:rsid w:val="00496D6C"/>
    <w:rsid w:val="00496E0D"/>
    <w:rsid w:val="00496ECD"/>
    <w:rsid w:val="004976BF"/>
    <w:rsid w:val="0049771F"/>
    <w:rsid w:val="00497891"/>
    <w:rsid w:val="00497981"/>
    <w:rsid w:val="00497AFF"/>
    <w:rsid w:val="00497E6D"/>
    <w:rsid w:val="004A03B7"/>
    <w:rsid w:val="004A0442"/>
    <w:rsid w:val="004A04F8"/>
    <w:rsid w:val="004A06D4"/>
    <w:rsid w:val="004A084A"/>
    <w:rsid w:val="004A0CA9"/>
    <w:rsid w:val="004A0F71"/>
    <w:rsid w:val="004A107F"/>
    <w:rsid w:val="004A17C1"/>
    <w:rsid w:val="004A191A"/>
    <w:rsid w:val="004A194F"/>
    <w:rsid w:val="004A1F84"/>
    <w:rsid w:val="004A23BB"/>
    <w:rsid w:val="004A2578"/>
    <w:rsid w:val="004A2D5B"/>
    <w:rsid w:val="004A2E10"/>
    <w:rsid w:val="004A2FD9"/>
    <w:rsid w:val="004A374A"/>
    <w:rsid w:val="004A392E"/>
    <w:rsid w:val="004A43DC"/>
    <w:rsid w:val="004A551B"/>
    <w:rsid w:val="004A5748"/>
    <w:rsid w:val="004A5A9C"/>
    <w:rsid w:val="004A630B"/>
    <w:rsid w:val="004A67E3"/>
    <w:rsid w:val="004A711A"/>
    <w:rsid w:val="004A724A"/>
    <w:rsid w:val="004A7741"/>
    <w:rsid w:val="004A7766"/>
    <w:rsid w:val="004A77AA"/>
    <w:rsid w:val="004A7A56"/>
    <w:rsid w:val="004A7C39"/>
    <w:rsid w:val="004A7C5E"/>
    <w:rsid w:val="004A7CD9"/>
    <w:rsid w:val="004A7D72"/>
    <w:rsid w:val="004B07AB"/>
    <w:rsid w:val="004B0AE5"/>
    <w:rsid w:val="004B11D9"/>
    <w:rsid w:val="004B18D2"/>
    <w:rsid w:val="004B26AA"/>
    <w:rsid w:val="004B270F"/>
    <w:rsid w:val="004B2726"/>
    <w:rsid w:val="004B28C3"/>
    <w:rsid w:val="004B2E0A"/>
    <w:rsid w:val="004B2E96"/>
    <w:rsid w:val="004B2EE5"/>
    <w:rsid w:val="004B32DE"/>
    <w:rsid w:val="004B3538"/>
    <w:rsid w:val="004B3567"/>
    <w:rsid w:val="004B3CB9"/>
    <w:rsid w:val="004B3EA7"/>
    <w:rsid w:val="004B4670"/>
    <w:rsid w:val="004B4D04"/>
    <w:rsid w:val="004B4E99"/>
    <w:rsid w:val="004B4EDD"/>
    <w:rsid w:val="004B4F64"/>
    <w:rsid w:val="004B4FE4"/>
    <w:rsid w:val="004B50F3"/>
    <w:rsid w:val="004B51BB"/>
    <w:rsid w:val="004B5FCB"/>
    <w:rsid w:val="004B66C9"/>
    <w:rsid w:val="004B73D4"/>
    <w:rsid w:val="004B74EF"/>
    <w:rsid w:val="004B757E"/>
    <w:rsid w:val="004B7689"/>
    <w:rsid w:val="004B77BA"/>
    <w:rsid w:val="004C016B"/>
    <w:rsid w:val="004C030C"/>
    <w:rsid w:val="004C0626"/>
    <w:rsid w:val="004C09F3"/>
    <w:rsid w:val="004C0A2C"/>
    <w:rsid w:val="004C0B19"/>
    <w:rsid w:val="004C0BA8"/>
    <w:rsid w:val="004C0BC7"/>
    <w:rsid w:val="004C0F73"/>
    <w:rsid w:val="004C148B"/>
    <w:rsid w:val="004C180F"/>
    <w:rsid w:val="004C1C54"/>
    <w:rsid w:val="004C1C7D"/>
    <w:rsid w:val="004C1CC9"/>
    <w:rsid w:val="004C2187"/>
    <w:rsid w:val="004C2B8B"/>
    <w:rsid w:val="004C2DE8"/>
    <w:rsid w:val="004C36E2"/>
    <w:rsid w:val="004C382E"/>
    <w:rsid w:val="004C4334"/>
    <w:rsid w:val="004C43DE"/>
    <w:rsid w:val="004C4854"/>
    <w:rsid w:val="004C4F73"/>
    <w:rsid w:val="004C5228"/>
    <w:rsid w:val="004C55DF"/>
    <w:rsid w:val="004C59E4"/>
    <w:rsid w:val="004C5DB1"/>
    <w:rsid w:val="004C6554"/>
    <w:rsid w:val="004C6CFB"/>
    <w:rsid w:val="004C7589"/>
    <w:rsid w:val="004C7605"/>
    <w:rsid w:val="004C7659"/>
    <w:rsid w:val="004C7750"/>
    <w:rsid w:val="004C7B10"/>
    <w:rsid w:val="004C7C8E"/>
    <w:rsid w:val="004D04EA"/>
    <w:rsid w:val="004D085E"/>
    <w:rsid w:val="004D0AA4"/>
    <w:rsid w:val="004D0CD1"/>
    <w:rsid w:val="004D0E9E"/>
    <w:rsid w:val="004D0F7A"/>
    <w:rsid w:val="004D12BA"/>
    <w:rsid w:val="004D15E7"/>
    <w:rsid w:val="004D18F4"/>
    <w:rsid w:val="004D2160"/>
    <w:rsid w:val="004D2936"/>
    <w:rsid w:val="004D2A0C"/>
    <w:rsid w:val="004D2E5A"/>
    <w:rsid w:val="004D2F0C"/>
    <w:rsid w:val="004D328D"/>
    <w:rsid w:val="004D423B"/>
    <w:rsid w:val="004D4C5A"/>
    <w:rsid w:val="004D5000"/>
    <w:rsid w:val="004D543D"/>
    <w:rsid w:val="004D5467"/>
    <w:rsid w:val="004D561B"/>
    <w:rsid w:val="004D572D"/>
    <w:rsid w:val="004D58CB"/>
    <w:rsid w:val="004D58D8"/>
    <w:rsid w:val="004D5BF7"/>
    <w:rsid w:val="004D5CC1"/>
    <w:rsid w:val="004D61A3"/>
    <w:rsid w:val="004D62C6"/>
    <w:rsid w:val="004D68E8"/>
    <w:rsid w:val="004D69B3"/>
    <w:rsid w:val="004D6C8F"/>
    <w:rsid w:val="004D770C"/>
    <w:rsid w:val="004D7758"/>
    <w:rsid w:val="004D78CB"/>
    <w:rsid w:val="004E0570"/>
    <w:rsid w:val="004E07D8"/>
    <w:rsid w:val="004E0DDD"/>
    <w:rsid w:val="004E151D"/>
    <w:rsid w:val="004E1732"/>
    <w:rsid w:val="004E196D"/>
    <w:rsid w:val="004E29D0"/>
    <w:rsid w:val="004E2BFA"/>
    <w:rsid w:val="004E2C89"/>
    <w:rsid w:val="004E2CB6"/>
    <w:rsid w:val="004E3140"/>
    <w:rsid w:val="004E3A13"/>
    <w:rsid w:val="004E3AD0"/>
    <w:rsid w:val="004E3D59"/>
    <w:rsid w:val="004E4054"/>
    <w:rsid w:val="004E459B"/>
    <w:rsid w:val="004E4631"/>
    <w:rsid w:val="004E4DBD"/>
    <w:rsid w:val="004E4DED"/>
    <w:rsid w:val="004E50F0"/>
    <w:rsid w:val="004E51EA"/>
    <w:rsid w:val="004E54EC"/>
    <w:rsid w:val="004E5C53"/>
    <w:rsid w:val="004E5ECF"/>
    <w:rsid w:val="004E7139"/>
    <w:rsid w:val="004E7155"/>
    <w:rsid w:val="004E7642"/>
    <w:rsid w:val="004E76D1"/>
    <w:rsid w:val="004E7B36"/>
    <w:rsid w:val="004E7B9F"/>
    <w:rsid w:val="004F097B"/>
    <w:rsid w:val="004F0CC8"/>
    <w:rsid w:val="004F1168"/>
    <w:rsid w:val="004F167A"/>
    <w:rsid w:val="004F284D"/>
    <w:rsid w:val="004F2ABA"/>
    <w:rsid w:val="004F2ECD"/>
    <w:rsid w:val="004F343F"/>
    <w:rsid w:val="004F3672"/>
    <w:rsid w:val="004F3F5C"/>
    <w:rsid w:val="004F438E"/>
    <w:rsid w:val="004F4428"/>
    <w:rsid w:val="004F463E"/>
    <w:rsid w:val="004F46A8"/>
    <w:rsid w:val="004F48E0"/>
    <w:rsid w:val="004F4A4E"/>
    <w:rsid w:val="004F50F2"/>
    <w:rsid w:val="004F5413"/>
    <w:rsid w:val="004F5913"/>
    <w:rsid w:val="004F5A17"/>
    <w:rsid w:val="004F5AED"/>
    <w:rsid w:val="004F61D5"/>
    <w:rsid w:val="004F64B5"/>
    <w:rsid w:val="004F66D5"/>
    <w:rsid w:val="004F69A1"/>
    <w:rsid w:val="004F6BC0"/>
    <w:rsid w:val="004F6CDB"/>
    <w:rsid w:val="0050068E"/>
    <w:rsid w:val="00500B00"/>
    <w:rsid w:val="005019CA"/>
    <w:rsid w:val="00501FD1"/>
    <w:rsid w:val="00502DE4"/>
    <w:rsid w:val="00503576"/>
    <w:rsid w:val="0050421D"/>
    <w:rsid w:val="00504803"/>
    <w:rsid w:val="00504878"/>
    <w:rsid w:val="00504893"/>
    <w:rsid w:val="005049D6"/>
    <w:rsid w:val="00504B66"/>
    <w:rsid w:val="00504BBC"/>
    <w:rsid w:val="00505038"/>
    <w:rsid w:val="00505782"/>
    <w:rsid w:val="00505C44"/>
    <w:rsid w:val="00505D39"/>
    <w:rsid w:val="00505DC9"/>
    <w:rsid w:val="005061FB"/>
    <w:rsid w:val="00506351"/>
    <w:rsid w:val="005064EF"/>
    <w:rsid w:val="005064F4"/>
    <w:rsid w:val="00506803"/>
    <w:rsid w:val="00506F10"/>
    <w:rsid w:val="00506F23"/>
    <w:rsid w:val="00507DA1"/>
    <w:rsid w:val="005105CC"/>
    <w:rsid w:val="00510A41"/>
    <w:rsid w:val="00510E39"/>
    <w:rsid w:val="005111A5"/>
    <w:rsid w:val="00511207"/>
    <w:rsid w:val="00511C45"/>
    <w:rsid w:val="00511D6E"/>
    <w:rsid w:val="00512056"/>
    <w:rsid w:val="00512DA4"/>
    <w:rsid w:val="00512E97"/>
    <w:rsid w:val="0051319F"/>
    <w:rsid w:val="0051325C"/>
    <w:rsid w:val="00513522"/>
    <w:rsid w:val="00513871"/>
    <w:rsid w:val="00513C01"/>
    <w:rsid w:val="00513CEB"/>
    <w:rsid w:val="005142A2"/>
    <w:rsid w:val="005145BA"/>
    <w:rsid w:val="00514762"/>
    <w:rsid w:val="00514971"/>
    <w:rsid w:val="00514B2E"/>
    <w:rsid w:val="0051522A"/>
    <w:rsid w:val="005152A9"/>
    <w:rsid w:val="00515E81"/>
    <w:rsid w:val="00515F55"/>
    <w:rsid w:val="005164C5"/>
    <w:rsid w:val="00516770"/>
    <w:rsid w:val="00516DE4"/>
    <w:rsid w:val="005172C7"/>
    <w:rsid w:val="00517353"/>
    <w:rsid w:val="00517A8E"/>
    <w:rsid w:val="00517E1A"/>
    <w:rsid w:val="00517F66"/>
    <w:rsid w:val="00517FEB"/>
    <w:rsid w:val="005203CB"/>
    <w:rsid w:val="00520AF7"/>
    <w:rsid w:val="0052106E"/>
    <w:rsid w:val="00521111"/>
    <w:rsid w:val="005216DD"/>
    <w:rsid w:val="00521C88"/>
    <w:rsid w:val="00521CF6"/>
    <w:rsid w:val="00521D4B"/>
    <w:rsid w:val="00521DAC"/>
    <w:rsid w:val="00522090"/>
    <w:rsid w:val="005224BB"/>
    <w:rsid w:val="00522DA5"/>
    <w:rsid w:val="00522EDA"/>
    <w:rsid w:val="00522F17"/>
    <w:rsid w:val="00523164"/>
    <w:rsid w:val="00523B05"/>
    <w:rsid w:val="00523D9B"/>
    <w:rsid w:val="0052418A"/>
    <w:rsid w:val="00524734"/>
    <w:rsid w:val="00524C59"/>
    <w:rsid w:val="00524D4A"/>
    <w:rsid w:val="00524FA8"/>
    <w:rsid w:val="00525963"/>
    <w:rsid w:val="0052653D"/>
    <w:rsid w:val="00526763"/>
    <w:rsid w:val="005268F1"/>
    <w:rsid w:val="00526A5D"/>
    <w:rsid w:val="00527203"/>
    <w:rsid w:val="00527371"/>
    <w:rsid w:val="00527585"/>
    <w:rsid w:val="00527D36"/>
    <w:rsid w:val="00530122"/>
    <w:rsid w:val="00530417"/>
    <w:rsid w:val="005307AC"/>
    <w:rsid w:val="00530800"/>
    <w:rsid w:val="00530FCF"/>
    <w:rsid w:val="005313D8"/>
    <w:rsid w:val="00531B09"/>
    <w:rsid w:val="00531C9E"/>
    <w:rsid w:val="00531F9B"/>
    <w:rsid w:val="00533368"/>
    <w:rsid w:val="00533ABC"/>
    <w:rsid w:val="00533CCD"/>
    <w:rsid w:val="00534167"/>
    <w:rsid w:val="00534713"/>
    <w:rsid w:val="00534773"/>
    <w:rsid w:val="00534E4D"/>
    <w:rsid w:val="005350DA"/>
    <w:rsid w:val="005358F8"/>
    <w:rsid w:val="00535BB0"/>
    <w:rsid w:val="005364B2"/>
    <w:rsid w:val="0053661C"/>
    <w:rsid w:val="005369D5"/>
    <w:rsid w:val="00537237"/>
    <w:rsid w:val="005373D9"/>
    <w:rsid w:val="00537C6D"/>
    <w:rsid w:val="00537FAC"/>
    <w:rsid w:val="00540018"/>
    <w:rsid w:val="00540866"/>
    <w:rsid w:val="00540A4C"/>
    <w:rsid w:val="00540EFB"/>
    <w:rsid w:val="00541295"/>
    <w:rsid w:val="00542112"/>
    <w:rsid w:val="005427A6"/>
    <w:rsid w:val="0054296F"/>
    <w:rsid w:val="00542A19"/>
    <w:rsid w:val="00543001"/>
    <w:rsid w:val="005433AD"/>
    <w:rsid w:val="00543460"/>
    <w:rsid w:val="00543AF4"/>
    <w:rsid w:val="005441E5"/>
    <w:rsid w:val="00544465"/>
    <w:rsid w:val="005444BC"/>
    <w:rsid w:val="00544836"/>
    <w:rsid w:val="00544CA1"/>
    <w:rsid w:val="005452AE"/>
    <w:rsid w:val="00545561"/>
    <w:rsid w:val="00545A6C"/>
    <w:rsid w:val="00545FD2"/>
    <w:rsid w:val="00546469"/>
    <w:rsid w:val="005468DB"/>
    <w:rsid w:val="00546F6B"/>
    <w:rsid w:val="00547B8F"/>
    <w:rsid w:val="00547D53"/>
    <w:rsid w:val="00547F3F"/>
    <w:rsid w:val="005506ED"/>
    <w:rsid w:val="00550B29"/>
    <w:rsid w:val="00550E3C"/>
    <w:rsid w:val="0055123E"/>
    <w:rsid w:val="005513A8"/>
    <w:rsid w:val="00551EB5"/>
    <w:rsid w:val="0055208D"/>
    <w:rsid w:val="0055295D"/>
    <w:rsid w:val="00552DE8"/>
    <w:rsid w:val="00552DEE"/>
    <w:rsid w:val="005532C8"/>
    <w:rsid w:val="005536E1"/>
    <w:rsid w:val="00553A2F"/>
    <w:rsid w:val="00553B4F"/>
    <w:rsid w:val="0055410A"/>
    <w:rsid w:val="005545C6"/>
    <w:rsid w:val="005549F8"/>
    <w:rsid w:val="00554CC7"/>
    <w:rsid w:val="00554DFF"/>
    <w:rsid w:val="0055540E"/>
    <w:rsid w:val="005556BF"/>
    <w:rsid w:val="0055623F"/>
    <w:rsid w:val="00556452"/>
    <w:rsid w:val="005567A0"/>
    <w:rsid w:val="00556914"/>
    <w:rsid w:val="00556D2F"/>
    <w:rsid w:val="00557165"/>
    <w:rsid w:val="005571BD"/>
    <w:rsid w:val="005574B3"/>
    <w:rsid w:val="0055756B"/>
    <w:rsid w:val="005578DA"/>
    <w:rsid w:val="005579B9"/>
    <w:rsid w:val="00557C7E"/>
    <w:rsid w:val="00557CEE"/>
    <w:rsid w:val="0056066E"/>
    <w:rsid w:val="00560CE3"/>
    <w:rsid w:val="00560D71"/>
    <w:rsid w:val="005610B6"/>
    <w:rsid w:val="00561F45"/>
    <w:rsid w:val="00562227"/>
    <w:rsid w:val="0056270C"/>
    <w:rsid w:val="005630B5"/>
    <w:rsid w:val="005633B3"/>
    <w:rsid w:val="00564483"/>
    <w:rsid w:val="0056459F"/>
    <w:rsid w:val="005649C1"/>
    <w:rsid w:val="00564B8A"/>
    <w:rsid w:val="00564DA3"/>
    <w:rsid w:val="0056516A"/>
    <w:rsid w:val="005655DE"/>
    <w:rsid w:val="005656FB"/>
    <w:rsid w:val="005658ED"/>
    <w:rsid w:val="00565B5C"/>
    <w:rsid w:val="00565E01"/>
    <w:rsid w:val="005666DE"/>
    <w:rsid w:val="00566895"/>
    <w:rsid w:val="00566A50"/>
    <w:rsid w:val="00566A98"/>
    <w:rsid w:val="00566BF6"/>
    <w:rsid w:val="00567014"/>
    <w:rsid w:val="00567460"/>
    <w:rsid w:val="005675E4"/>
    <w:rsid w:val="0056778E"/>
    <w:rsid w:val="00567793"/>
    <w:rsid w:val="00567C4D"/>
    <w:rsid w:val="005700E6"/>
    <w:rsid w:val="00570135"/>
    <w:rsid w:val="00570313"/>
    <w:rsid w:val="0057032D"/>
    <w:rsid w:val="005708EF"/>
    <w:rsid w:val="0057161C"/>
    <w:rsid w:val="0057181F"/>
    <w:rsid w:val="00571C67"/>
    <w:rsid w:val="00571DAE"/>
    <w:rsid w:val="00571F1B"/>
    <w:rsid w:val="00571F67"/>
    <w:rsid w:val="00572089"/>
    <w:rsid w:val="005721D7"/>
    <w:rsid w:val="0057270D"/>
    <w:rsid w:val="00572CEA"/>
    <w:rsid w:val="0057390C"/>
    <w:rsid w:val="00573A49"/>
    <w:rsid w:val="00573EBA"/>
    <w:rsid w:val="00574364"/>
    <w:rsid w:val="00574B4D"/>
    <w:rsid w:val="00574D2A"/>
    <w:rsid w:val="00574E68"/>
    <w:rsid w:val="005751E2"/>
    <w:rsid w:val="0057583C"/>
    <w:rsid w:val="00575861"/>
    <w:rsid w:val="00576217"/>
    <w:rsid w:val="005766ED"/>
    <w:rsid w:val="00577728"/>
    <w:rsid w:val="00577CBC"/>
    <w:rsid w:val="0058011F"/>
    <w:rsid w:val="005802FE"/>
    <w:rsid w:val="00580B2F"/>
    <w:rsid w:val="00580F2B"/>
    <w:rsid w:val="005813EB"/>
    <w:rsid w:val="0058144E"/>
    <w:rsid w:val="00581969"/>
    <w:rsid w:val="00581998"/>
    <w:rsid w:val="00582266"/>
    <w:rsid w:val="0058236A"/>
    <w:rsid w:val="005829A6"/>
    <w:rsid w:val="005833F6"/>
    <w:rsid w:val="00583467"/>
    <w:rsid w:val="00583EF5"/>
    <w:rsid w:val="0058413D"/>
    <w:rsid w:val="00584AE7"/>
    <w:rsid w:val="00584C88"/>
    <w:rsid w:val="00584CEF"/>
    <w:rsid w:val="00584F64"/>
    <w:rsid w:val="00585176"/>
    <w:rsid w:val="00585348"/>
    <w:rsid w:val="005853E8"/>
    <w:rsid w:val="00585586"/>
    <w:rsid w:val="00585B9E"/>
    <w:rsid w:val="005864C9"/>
    <w:rsid w:val="005866EA"/>
    <w:rsid w:val="00586888"/>
    <w:rsid w:val="00586A65"/>
    <w:rsid w:val="00586D06"/>
    <w:rsid w:val="005870E2"/>
    <w:rsid w:val="00587568"/>
    <w:rsid w:val="0058785D"/>
    <w:rsid w:val="005879AC"/>
    <w:rsid w:val="00587D3E"/>
    <w:rsid w:val="00587D9D"/>
    <w:rsid w:val="00587DAA"/>
    <w:rsid w:val="005900CA"/>
    <w:rsid w:val="005906B0"/>
    <w:rsid w:val="005908FA"/>
    <w:rsid w:val="00591266"/>
    <w:rsid w:val="0059189C"/>
    <w:rsid w:val="00591E2A"/>
    <w:rsid w:val="005921F7"/>
    <w:rsid w:val="00592C9F"/>
    <w:rsid w:val="00594369"/>
    <w:rsid w:val="0059437B"/>
    <w:rsid w:val="00594ADB"/>
    <w:rsid w:val="00594F43"/>
    <w:rsid w:val="00595047"/>
    <w:rsid w:val="00595D9C"/>
    <w:rsid w:val="00596214"/>
    <w:rsid w:val="00596A0D"/>
    <w:rsid w:val="00596CD7"/>
    <w:rsid w:val="00596CF1"/>
    <w:rsid w:val="00596DD7"/>
    <w:rsid w:val="005970B6"/>
    <w:rsid w:val="00597110"/>
    <w:rsid w:val="00597829"/>
    <w:rsid w:val="005979E7"/>
    <w:rsid w:val="00597FB9"/>
    <w:rsid w:val="005A009F"/>
    <w:rsid w:val="005A023B"/>
    <w:rsid w:val="005A0261"/>
    <w:rsid w:val="005A052F"/>
    <w:rsid w:val="005A0743"/>
    <w:rsid w:val="005A0988"/>
    <w:rsid w:val="005A11E7"/>
    <w:rsid w:val="005A19B9"/>
    <w:rsid w:val="005A26D8"/>
    <w:rsid w:val="005A2BB9"/>
    <w:rsid w:val="005A335A"/>
    <w:rsid w:val="005A3629"/>
    <w:rsid w:val="005A3704"/>
    <w:rsid w:val="005A3D7C"/>
    <w:rsid w:val="005A41DA"/>
    <w:rsid w:val="005A4490"/>
    <w:rsid w:val="005A550B"/>
    <w:rsid w:val="005A5516"/>
    <w:rsid w:val="005A552E"/>
    <w:rsid w:val="005A55C7"/>
    <w:rsid w:val="005A55D5"/>
    <w:rsid w:val="005A5641"/>
    <w:rsid w:val="005A5656"/>
    <w:rsid w:val="005A56E6"/>
    <w:rsid w:val="005A6050"/>
    <w:rsid w:val="005A60F0"/>
    <w:rsid w:val="005A60FE"/>
    <w:rsid w:val="005A6788"/>
    <w:rsid w:val="005A6891"/>
    <w:rsid w:val="005A6A11"/>
    <w:rsid w:val="005A6A66"/>
    <w:rsid w:val="005A6C88"/>
    <w:rsid w:val="005A71BB"/>
    <w:rsid w:val="005A7405"/>
    <w:rsid w:val="005A75D1"/>
    <w:rsid w:val="005A7748"/>
    <w:rsid w:val="005A78B3"/>
    <w:rsid w:val="005A79B3"/>
    <w:rsid w:val="005B09F7"/>
    <w:rsid w:val="005B137C"/>
    <w:rsid w:val="005B15D5"/>
    <w:rsid w:val="005B22FD"/>
    <w:rsid w:val="005B281C"/>
    <w:rsid w:val="005B316A"/>
    <w:rsid w:val="005B31A4"/>
    <w:rsid w:val="005B34A6"/>
    <w:rsid w:val="005B354F"/>
    <w:rsid w:val="005B3890"/>
    <w:rsid w:val="005B3A0C"/>
    <w:rsid w:val="005B3A76"/>
    <w:rsid w:val="005B3BDF"/>
    <w:rsid w:val="005B502B"/>
    <w:rsid w:val="005B542A"/>
    <w:rsid w:val="005B544D"/>
    <w:rsid w:val="005B551C"/>
    <w:rsid w:val="005B5B96"/>
    <w:rsid w:val="005B5E9B"/>
    <w:rsid w:val="005B5F87"/>
    <w:rsid w:val="005B60A8"/>
    <w:rsid w:val="005B6AD5"/>
    <w:rsid w:val="005B6E03"/>
    <w:rsid w:val="005B76EC"/>
    <w:rsid w:val="005B7AA4"/>
    <w:rsid w:val="005C0997"/>
    <w:rsid w:val="005C179D"/>
    <w:rsid w:val="005C1840"/>
    <w:rsid w:val="005C19C7"/>
    <w:rsid w:val="005C1BDB"/>
    <w:rsid w:val="005C1C81"/>
    <w:rsid w:val="005C1F66"/>
    <w:rsid w:val="005C2396"/>
    <w:rsid w:val="005C2443"/>
    <w:rsid w:val="005C25AD"/>
    <w:rsid w:val="005C2690"/>
    <w:rsid w:val="005C2833"/>
    <w:rsid w:val="005C2B5E"/>
    <w:rsid w:val="005C2E39"/>
    <w:rsid w:val="005C3004"/>
    <w:rsid w:val="005C38A5"/>
    <w:rsid w:val="005C38EF"/>
    <w:rsid w:val="005C4145"/>
    <w:rsid w:val="005C41FA"/>
    <w:rsid w:val="005C54C8"/>
    <w:rsid w:val="005C56DD"/>
    <w:rsid w:val="005C574C"/>
    <w:rsid w:val="005C58A0"/>
    <w:rsid w:val="005C60CF"/>
    <w:rsid w:val="005C6F7D"/>
    <w:rsid w:val="005C74BF"/>
    <w:rsid w:val="005C74C6"/>
    <w:rsid w:val="005C762D"/>
    <w:rsid w:val="005D07F8"/>
    <w:rsid w:val="005D0C09"/>
    <w:rsid w:val="005D1B59"/>
    <w:rsid w:val="005D1CB1"/>
    <w:rsid w:val="005D20D0"/>
    <w:rsid w:val="005D20DC"/>
    <w:rsid w:val="005D23A8"/>
    <w:rsid w:val="005D25F7"/>
    <w:rsid w:val="005D2B8C"/>
    <w:rsid w:val="005D2F7A"/>
    <w:rsid w:val="005D33BD"/>
    <w:rsid w:val="005D372D"/>
    <w:rsid w:val="005D37AA"/>
    <w:rsid w:val="005D38C6"/>
    <w:rsid w:val="005D4AAD"/>
    <w:rsid w:val="005D4C25"/>
    <w:rsid w:val="005D5366"/>
    <w:rsid w:val="005D6C3E"/>
    <w:rsid w:val="005E104B"/>
    <w:rsid w:val="005E1383"/>
    <w:rsid w:val="005E14AF"/>
    <w:rsid w:val="005E14FF"/>
    <w:rsid w:val="005E15A1"/>
    <w:rsid w:val="005E1611"/>
    <w:rsid w:val="005E1738"/>
    <w:rsid w:val="005E1E0F"/>
    <w:rsid w:val="005E1FDF"/>
    <w:rsid w:val="005E253F"/>
    <w:rsid w:val="005E277B"/>
    <w:rsid w:val="005E3102"/>
    <w:rsid w:val="005E3141"/>
    <w:rsid w:val="005E3531"/>
    <w:rsid w:val="005E37DF"/>
    <w:rsid w:val="005E381E"/>
    <w:rsid w:val="005E387C"/>
    <w:rsid w:val="005E3A75"/>
    <w:rsid w:val="005E3C4C"/>
    <w:rsid w:val="005E3C5E"/>
    <w:rsid w:val="005E3EE0"/>
    <w:rsid w:val="005E442D"/>
    <w:rsid w:val="005E5669"/>
    <w:rsid w:val="005E6744"/>
    <w:rsid w:val="005E6747"/>
    <w:rsid w:val="005E7083"/>
    <w:rsid w:val="005F08B8"/>
    <w:rsid w:val="005F09C8"/>
    <w:rsid w:val="005F0C28"/>
    <w:rsid w:val="005F1F65"/>
    <w:rsid w:val="005F237D"/>
    <w:rsid w:val="005F29AA"/>
    <w:rsid w:val="005F29DF"/>
    <w:rsid w:val="005F2B3E"/>
    <w:rsid w:val="005F2C69"/>
    <w:rsid w:val="005F3006"/>
    <w:rsid w:val="005F3A58"/>
    <w:rsid w:val="005F3A83"/>
    <w:rsid w:val="005F3E94"/>
    <w:rsid w:val="005F4134"/>
    <w:rsid w:val="005F430F"/>
    <w:rsid w:val="005F4377"/>
    <w:rsid w:val="005F43A7"/>
    <w:rsid w:val="005F4856"/>
    <w:rsid w:val="005F4901"/>
    <w:rsid w:val="005F4D4F"/>
    <w:rsid w:val="005F4E3C"/>
    <w:rsid w:val="005F521F"/>
    <w:rsid w:val="005F559E"/>
    <w:rsid w:val="005F59FC"/>
    <w:rsid w:val="005F5F47"/>
    <w:rsid w:val="005F601D"/>
    <w:rsid w:val="005F6751"/>
    <w:rsid w:val="005F6E73"/>
    <w:rsid w:val="005F76C3"/>
    <w:rsid w:val="005F79BC"/>
    <w:rsid w:val="005F79D5"/>
    <w:rsid w:val="0060007F"/>
    <w:rsid w:val="00600308"/>
    <w:rsid w:val="006004D3"/>
    <w:rsid w:val="00600AEA"/>
    <w:rsid w:val="0060148D"/>
    <w:rsid w:val="006019BC"/>
    <w:rsid w:val="00601C23"/>
    <w:rsid w:val="00602166"/>
    <w:rsid w:val="00602439"/>
    <w:rsid w:val="006026C1"/>
    <w:rsid w:val="006026CE"/>
    <w:rsid w:val="0060332E"/>
    <w:rsid w:val="006037AB"/>
    <w:rsid w:val="00603F97"/>
    <w:rsid w:val="006040CC"/>
    <w:rsid w:val="00604E27"/>
    <w:rsid w:val="0060508B"/>
    <w:rsid w:val="006054CD"/>
    <w:rsid w:val="0060552B"/>
    <w:rsid w:val="006057EA"/>
    <w:rsid w:val="00605DBE"/>
    <w:rsid w:val="00606074"/>
    <w:rsid w:val="006065FC"/>
    <w:rsid w:val="006068B4"/>
    <w:rsid w:val="00606F72"/>
    <w:rsid w:val="006076B7"/>
    <w:rsid w:val="006078D2"/>
    <w:rsid w:val="00607C93"/>
    <w:rsid w:val="00607D79"/>
    <w:rsid w:val="00607F92"/>
    <w:rsid w:val="006106A6"/>
    <w:rsid w:val="00610AB6"/>
    <w:rsid w:val="00610E15"/>
    <w:rsid w:val="00611134"/>
    <w:rsid w:val="006112BE"/>
    <w:rsid w:val="00611899"/>
    <w:rsid w:val="00612812"/>
    <w:rsid w:val="00612D99"/>
    <w:rsid w:val="006130B5"/>
    <w:rsid w:val="006136B7"/>
    <w:rsid w:val="00613CAB"/>
    <w:rsid w:val="00613DEA"/>
    <w:rsid w:val="006148AE"/>
    <w:rsid w:val="00614D76"/>
    <w:rsid w:val="00615130"/>
    <w:rsid w:val="0061548E"/>
    <w:rsid w:val="0061549D"/>
    <w:rsid w:val="0061550A"/>
    <w:rsid w:val="00615842"/>
    <w:rsid w:val="00615FD8"/>
    <w:rsid w:val="006165E4"/>
    <w:rsid w:val="00616B2C"/>
    <w:rsid w:val="00616EEF"/>
    <w:rsid w:val="006171B2"/>
    <w:rsid w:val="0061746B"/>
    <w:rsid w:val="00617E08"/>
    <w:rsid w:val="006201A7"/>
    <w:rsid w:val="006208AD"/>
    <w:rsid w:val="00620D56"/>
    <w:rsid w:val="00620F63"/>
    <w:rsid w:val="006214EE"/>
    <w:rsid w:val="006215DA"/>
    <w:rsid w:val="006220DB"/>
    <w:rsid w:val="0062229A"/>
    <w:rsid w:val="006222A3"/>
    <w:rsid w:val="006227BC"/>
    <w:rsid w:val="00622A4F"/>
    <w:rsid w:val="00622E0C"/>
    <w:rsid w:val="0062300E"/>
    <w:rsid w:val="0062370C"/>
    <w:rsid w:val="0062390F"/>
    <w:rsid w:val="0062436C"/>
    <w:rsid w:val="006248C9"/>
    <w:rsid w:val="00624B76"/>
    <w:rsid w:val="00624E03"/>
    <w:rsid w:val="006253C2"/>
    <w:rsid w:val="006254DA"/>
    <w:rsid w:val="0062551A"/>
    <w:rsid w:val="0062596C"/>
    <w:rsid w:val="00625990"/>
    <w:rsid w:val="006259CD"/>
    <w:rsid w:val="00625A6A"/>
    <w:rsid w:val="00626A51"/>
    <w:rsid w:val="00626D37"/>
    <w:rsid w:val="00627928"/>
    <w:rsid w:val="00627C29"/>
    <w:rsid w:val="00627C87"/>
    <w:rsid w:val="00630CD4"/>
    <w:rsid w:val="00630F37"/>
    <w:rsid w:val="006311BC"/>
    <w:rsid w:val="006313FE"/>
    <w:rsid w:val="00631BE6"/>
    <w:rsid w:val="006335B9"/>
    <w:rsid w:val="0063364A"/>
    <w:rsid w:val="006336BB"/>
    <w:rsid w:val="0063388F"/>
    <w:rsid w:val="00633B45"/>
    <w:rsid w:val="00633D6C"/>
    <w:rsid w:val="00633D98"/>
    <w:rsid w:val="00634233"/>
    <w:rsid w:val="00634238"/>
    <w:rsid w:val="006345D9"/>
    <w:rsid w:val="0063470E"/>
    <w:rsid w:val="00635028"/>
    <w:rsid w:val="00635141"/>
    <w:rsid w:val="006351B8"/>
    <w:rsid w:val="00635286"/>
    <w:rsid w:val="0063588D"/>
    <w:rsid w:val="00635D25"/>
    <w:rsid w:val="006361B6"/>
    <w:rsid w:val="00636B40"/>
    <w:rsid w:val="0063709A"/>
    <w:rsid w:val="00637307"/>
    <w:rsid w:val="00637921"/>
    <w:rsid w:val="00637A8D"/>
    <w:rsid w:val="00637B31"/>
    <w:rsid w:val="006400AE"/>
    <w:rsid w:val="00640330"/>
    <w:rsid w:val="006403D7"/>
    <w:rsid w:val="00640932"/>
    <w:rsid w:val="00641582"/>
    <w:rsid w:val="00642612"/>
    <w:rsid w:val="00642C86"/>
    <w:rsid w:val="00643525"/>
    <w:rsid w:val="006435D9"/>
    <w:rsid w:val="00644500"/>
    <w:rsid w:val="0064475E"/>
    <w:rsid w:val="00644FEB"/>
    <w:rsid w:val="006451D4"/>
    <w:rsid w:val="00645A1B"/>
    <w:rsid w:val="00645CDE"/>
    <w:rsid w:val="00645DEC"/>
    <w:rsid w:val="00645F9C"/>
    <w:rsid w:val="00646245"/>
    <w:rsid w:val="006463AF"/>
    <w:rsid w:val="006463D8"/>
    <w:rsid w:val="00646588"/>
    <w:rsid w:val="006465E6"/>
    <w:rsid w:val="006471E9"/>
    <w:rsid w:val="0064728F"/>
    <w:rsid w:val="00647FAD"/>
    <w:rsid w:val="00650F06"/>
    <w:rsid w:val="00650F5D"/>
    <w:rsid w:val="0065102D"/>
    <w:rsid w:val="006512B9"/>
    <w:rsid w:val="00651667"/>
    <w:rsid w:val="00651DA7"/>
    <w:rsid w:val="0065206B"/>
    <w:rsid w:val="006520D9"/>
    <w:rsid w:val="0065266E"/>
    <w:rsid w:val="00652915"/>
    <w:rsid w:val="00652986"/>
    <w:rsid w:val="00652EEB"/>
    <w:rsid w:val="00653452"/>
    <w:rsid w:val="0065397A"/>
    <w:rsid w:val="00653DF1"/>
    <w:rsid w:val="00654542"/>
    <w:rsid w:val="006545DD"/>
    <w:rsid w:val="00654710"/>
    <w:rsid w:val="00654D62"/>
    <w:rsid w:val="00654EDF"/>
    <w:rsid w:val="006553D7"/>
    <w:rsid w:val="006556A8"/>
    <w:rsid w:val="006561BE"/>
    <w:rsid w:val="006564F5"/>
    <w:rsid w:val="0065661C"/>
    <w:rsid w:val="0065697E"/>
    <w:rsid w:val="006569EC"/>
    <w:rsid w:val="00656E5B"/>
    <w:rsid w:val="00656FA4"/>
    <w:rsid w:val="00657211"/>
    <w:rsid w:val="006575FB"/>
    <w:rsid w:val="00657A33"/>
    <w:rsid w:val="00657D0B"/>
    <w:rsid w:val="00657D34"/>
    <w:rsid w:val="00657D73"/>
    <w:rsid w:val="006610E8"/>
    <w:rsid w:val="00661265"/>
    <w:rsid w:val="00661588"/>
    <w:rsid w:val="006615F5"/>
    <w:rsid w:val="00661A11"/>
    <w:rsid w:val="00661FC6"/>
    <w:rsid w:val="0066220A"/>
    <w:rsid w:val="006630BC"/>
    <w:rsid w:val="006632A1"/>
    <w:rsid w:val="006634C0"/>
    <w:rsid w:val="006634FB"/>
    <w:rsid w:val="00663915"/>
    <w:rsid w:val="00664378"/>
    <w:rsid w:val="00664425"/>
    <w:rsid w:val="006648C4"/>
    <w:rsid w:val="00664BD9"/>
    <w:rsid w:val="00664D81"/>
    <w:rsid w:val="00664E1D"/>
    <w:rsid w:val="006657C8"/>
    <w:rsid w:val="0066594C"/>
    <w:rsid w:val="00665E76"/>
    <w:rsid w:val="00665EB7"/>
    <w:rsid w:val="006663EC"/>
    <w:rsid w:val="00666DDF"/>
    <w:rsid w:val="00667158"/>
    <w:rsid w:val="00667283"/>
    <w:rsid w:val="00667C60"/>
    <w:rsid w:val="006704A6"/>
    <w:rsid w:val="00670583"/>
    <w:rsid w:val="00670FDE"/>
    <w:rsid w:val="00671B53"/>
    <w:rsid w:val="00671C2F"/>
    <w:rsid w:val="00671F80"/>
    <w:rsid w:val="006723FC"/>
    <w:rsid w:val="00672501"/>
    <w:rsid w:val="00672614"/>
    <w:rsid w:val="00672800"/>
    <w:rsid w:val="006729F8"/>
    <w:rsid w:val="00673575"/>
    <w:rsid w:val="00673577"/>
    <w:rsid w:val="006745F1"/>
    <w:rsid w:val="00674C1B"/>
    <w:rsid w:val="00674FBD"/>
    <w:rsid w:val="0067536F"/>
    <w:rsid w:val="00675421"/>
    <w:rsid w:val="0067560E"/>
    <w:rsid w:val="006756EB"/>
    <w:rsid w:val="006757DF"/>
    <w:rsid w:val="0067589E"/>
    <w:rsid w:val="00675B0E"/>
    <w:rsid w:val="00676471"/>
    <w:rsid w:val="006767FC"/>
    <w:rsid w:val="006768DB"/>
    <w:rsid w:val="00676E85"/>
    <w:rsid w:val="00676EA2"/>
    <w:rsid w:val="00676FB5"/>
    <w:rsid w:val="0067755D"/>
    <w:rsid w:val="00680143"/>
    <w:rsid w:val="006807FE"/>
    <w:rsid w:val="00680950"/>
    <w:rsid w:val="00680962"/>
    <w:rsid w:val="00680E5B"/>
    <w:rsid w:val="00681C41"/>
    <w:rsid w:val="00681DFA"/>
    <w:rsid w:val="00681F18"/>
    <w:rsid w:val="00682039"/>
    <w:rsid w:val="00682309"/>
    <w:rsid w:val="00682840"/>
    <w:rsid w:val="00682963"/>
    <w:rsid w:val="00682D99"/>
    <w:rsid w:val="00682DD2"/>
    <w:rsid w:val="006831F0"/>
    <w:rsid w:val="006832B0"/>
    <w:rsid w:val="006832FA"/>
    <w:rsid w:val="00683735"/>
    <w:rsid w:val="00683E15"/>
    <w:rsid w:val="0068409C"/>
    <w:rsid w:val="00685D1C"/>
    <w:rsid w:val="00685E85"/>
    <w:rsid w:val="006861A9"/>
    <w:rsid w:val="006864EA"/>
    <w:rsid w:val="00686622"/>
    <w:rsid w:val="00686B05"/>
    <w:rsid w:val="00687193"/>
    <w:rsid w:val="006872BE"/>
    <w:rsid w:val="0068732C"/>
    <w:rsid w:val="006877C0"/>
    <w:rsid w:val="00687829"/>
    <w:rsid w:val="006879EA"/>
    <w:rsid w:val="00687A98"/>
    <w:rsid w:val="00690598"/>
    <w:rsid w:val="0069095A"/>
    <w:rsid w:val="0069131C"/>
    <w:rsid w:val="006916AC"/>
    <w:rsid w:val="0069176A"/>
    <w:rsid w:val="006918D8"/>
    <w:rsid w:val="00691AAB"/>
    <w:rsid w:val="006920C5"/>
    <w:rsid w:val="006922CE"/>
    <w:rsid w:val="006926CC"/>
    <w:rsid w:val="0069364F"/>
    <w:rsid w:val="00693D0B"/>
    <w:rsid w:val="006944A7"/>
    <w:rsid w:val="006946FA"/>
    <w:rsid w:val="0069478E"/>
    <w:rsid w:val="00694F92"/>
    <w:rsid w:val="006955C8"/>
    <w:rsid w:val="00695A26"/>
    <w:rsid w:val="006960D1"/>
    <w:rsid w:val="00696EEB"/>
    <w:rsid w:val="006970A6"/>
    <w:rsid w:val="00697675"/>
    <w:rsid w:val="00697868"/>
    <w:rsid w:val="006A0110"/>
    <w:rsid w:val="006A0399"/>
    <w:rsid w:val="006A082F"/>
    <w:rsid w:val="006A0CCF"/>
    <w:rsid w:val="006A0F83"/>
    <w:rsid w:val="006A1074"/>
    <w:rsid w:val="006A1651"/>
    <w:rsid w:val="006A16B5"/>
    <w:rsid w:val="006A174C"/>
    <w:rsid w:val="006A18CF"/>
    <w:rsid w:val="006A1B84"/>
    <w:rsid w:val="006A1EBA"/>
    <w:rsid w:val="006A2471"/>
    <w:rsid w:val="006A2A65"/>
    <w:rsid w:val="006A2B39"/>
    <w:rsid w:val="006A2CFE"/>
    <w:rsid w:val="006A2DDF"/>
    <w:rsid w:val="006A3397"/>
    <w:rsid w:val="006A33D2"/>
    <w:rsid w:val="006A3FED"/>
    <w:rsid w:val="006A49AE"/>
    <w:rsid w:val="006A4AF9"/>
    <w:rsid w:val="006A4AFE"/>
    <w:rsid w:val="006A4C2E"/>
    <w:rsid w:val="006A4F69"/>
    <w:rsid w:val="006A532B"/>
    <w:rsid w:val="006A5B67"/>
    <w:rsid w:val="006A5CC4"/>
    <w:rsid w:val="006A61C9"/>
    <w:rsid w:val="006A670E"/>
    <w:rsid w:val="006A6AD7"/>
    <w:rsid w:val="006A761D"/>
    <w:rsid w:val="006A7868"/>
    <w:rsid w:val="006B0443"/>
    <w:rsid w:val="006B05D3"/>
    <w:rsid w:val="006B0747"/>
    <w:rsid w:val="006B07FB"/>
    <w:rsid w:val="006B0974"/>
    <w:rsid w:val="006B0CFD"/>
    <w:rsid w:val="006B0D57"/>
    <w:rsid w:val="006B0E7D"/>
    <w:rsid w:val="006B1444"/>
    <w:rsid w:val="006B1584"/>
    <w:rsid w:val="006B15A3"/>
    <w:rsid w:val="006B1A72"/>
    <w:rsid w:val="006B2142"/>
    <w:rsid w:val="006B2224"/>
    <w:rsid w:val="006B2313"/>
    <w:rsid w:val="006B2556"/>
    <w:rsid w:val="006B2F86"/>
    <w:rsid w:val="006B3321"/>
    <w:rsid w:val="006B3535"/>
    <w:rsid w:val="006B47C1"/>
    <w:rsid w:val="006B4D22"/>
    <w:rsid w:val="006B4DC8"/>
    <w:rsid w:val="006B4E73"/>
    <w:rsid w:val="006B5166"/>
    <w:rsid w:val="006B580C"/>
    <w:rsid w:val="006B591A"/>
    <w:rsid w:val="006B5C60"/>
    <w:rsid w:val="006B60A9"/>
    <w:rsid w:val="006B6520"/>
    <w:rsid w:val="006B6998"/>
    <w:rsid w:val="006B6B43"/>
    <w:rsid w:val="006B6ED6"/>
    <w:rsid w:val="006B7042"/>
    <w:rsid w:val="006B732C"/>
    <w:rsid w:val="006B73A6"/>
    <w:rsid w:val="006B7501"/>
    <w:rsid w:val="006C076C"/>
    <w:rsid w:val="006C0AE6"/>
    <w:rsid w:val="006C0CE8"/>
    <w:rsid w:val="006C1768"/>
    <w:rsid w:val="006C1D36"/>
    <w:rsid w:val="006C22CF"/>
    <w:rsid w:val="006C23CC"/>
    <w:rsid w:val="006C290F"/>
    <w:rsid w:val="006C2A5F"/>
    <w:rsid w:val="006C2DDD"/>
    <w:rsid w:val="006C341A"/>
    <w:rsid w:val="006C34A3"/>
    <w:rsid w:val="006C36A8"/>
    <w:rsid w:val="006C3778"/>
    <w:rsid w:val="006C38DD"/>
    <w:rsid w:val="006C3C29"/>
    <w:rsid w:val="006C3D2E"/>
    <w:rsid w:val="006C3F96"/>
    <w:rsid w:val="006C48C5"/>
    <w:rsid w:val="006C4B26"/>
    <w:rsid w:val="006C4BD4"/>
    <w:rsid w:val="006C5039"/>
    <w:rsid w:val="006C509C"/>
    <w:rsid w:val="006C53F9"/>
    <w:rsid w:val="006C6430"/>
    <w:rsid w:val="006C65AB"/>
    <w:rsid w:val="006C6858"/>
    <w:rsid w:val="006C705F"/>
    <w:rsid w:val="006C756F"/>
    <w:rsid w:val="006C7578"/>
    <w:rsid w:val="006C77F0"/>
    <w:rsid w:val="006C7C6C"/>
    <w:rsid w:val="006C7EDA"/>
    <w:rsid w:val="006D016E"/>
    <w:rsid w:val="006D05F3"/>
    <w:rsid w:val="006D0708"/>
    <w:rsid w:val="006D0BAA"/>
    <w:rsid w:val="006D0D74"/>
    <w:rsid w:val="006D0DA6"/>
    <w:rsid w:val="006D0ECD"/>
    <w:rsid w:val="006D1169"/>
    <w:rsid w:val="006D1353"/>
    <w:rsid w:val="006D1AB2"/>
    <w:rsid w:val="006D2019"/>
    <w:rsid w:val="006D22B3"/>
    <w:rsid w:val="006D28D1"/>
    <w:rsid w:val="006D2C7B"/>
    <w:rsid w:val="006D3C03"/>
    <w:rsid w:val="006D3C22"/>
    <w:rsid w:val="006D41F9"/>
    <w:rsid w:val="006D4AD7"/>
    <w:rsid w:val="006D4D5C"/>
    <w:rsid w:val="006D4D88"/>
    <w:rsid w:val="006D565E"/>
    <w:rsid w:val="006D5A4C"/>
    <w:rsid w:val="006D5C32"/>
    <w:rsid w:val="006D6491"/>
    <w:rsid w:val="006D6612"/>
    <w:rsid w:val="006D6785"/>
    <w:rsid w:val="006D68D0"/>
    <w:rsid w:val="006D69B9"/>
    <w:rsid w:val="006D6E88"/>
    <w:rsid w:val="006D79AF"/>
    <w:rsid w:val="006D7E2A"/>
    <w:rsid w:val="006E02CA"/>
    <w:rsid w:val="006E0305"/>
    <w:rsid w:val="006E04C8"/>
    <w:rsid w:val="006E0597"/>
    <w:rsid w:val="006E05A5"/>
    <w:rsid w:val="006E0969"/>
    <w:rsid w:val="006E11DC"/>
    <w:rsid w:val="006E152F"/>
    <w:rsid w:val="006E1AB7"/>
    <w:rsid w:val="006E1BD0"/>
    <w:rsid w:val="006E1D70"/>
    <w:rsid w:val="006E203B"/>
    <w:rsid w:val="006E23D0"/>
    <w:rsid w:val="006E240C"/>
    <w:rsid w:val="006E289E"/>
    <w:rsid w:val="006E3348"/>
    <w:rsid w:val="006E363E"/>
    <w:rsid w:val="006E38F1"/>
    <w:rsid w:val="006E3D29"/>
    <w:rsid w:val="006E3EC6"/>
    <w:rsid w:val="006E42C3"/>
    <w:rsid w:val="006E4B24"/>
    <w:rsid w:val="006E4D37"/>
    <w:rsid w:val="006E517C"/>
    <w:rsid w:val="006E53BD"/>
    <w:rsid w:val="006E551E"/>
    <w:rsid w:val="006E5546"/>
    <w:rsid w:val="006E5563"/>
    <w:rsid w:val="006E56C2"/>
    <w:rsid w:val="006E57F1"/>
    <w:rsid w:val="006E58FC"/>
    <w:rsid w:val="006E5F44"/>
    <w:rsid w:val="006E5F73"/>
    <w:rsid w:val="006E6050"/>
    <w:rsid w:val="006E60BD"/>
    <w:rsid w:val="006E63CA"/>
    <w:rsid w:val="006E6629"/>
    <w:rsid w:val="006E6874"/>
    <w:rsid w:val="006E7182"/>
    <w:rsid w:val="006E7869"/>
    <w:rsid w:val="006F006F"/>
    <w:rsid w:val="006F00B5"/>
    <w:rsid w:val="006F0900"/>
    <w:rsid w:val="006F0B6C"/>
    <w:rsid w:val="006F0D98"/>
    <w:rsid w:val="006F1D64"/>
    <w:rsid w:val="006F21AE"/>
    <w:rsid w:val="006F25EF"/>
    <w:rsid w:val="006F2927"/>
    <w:rsid w:val="006F2DB3"/>
    <w:rsid w:val="006F3700"/>
    <w:rsid w:val="006F40DD"/>
    <w:rsid w:val="006F4938"/>
    <w:rsid w:val="006F4A09"/>
    <w:rsid w:val="006F4E0B"/>
    <w:rsid w:val="006F5E6B"/>
    <w:rsid w:val="006F5E7D"/>
    <w:rsid w:val="006F6157"/>
    <w:rsid w:val="006F6634"/>
    <w:rsid w:val="006F6BFE"/>
    <w:rsid w:val="006F6F4E"/>
    <w:rsid w:val="006F7884"/>
    <w:rsid w:val="006F7B07"/>
    <w:rsid w:val="006F7E48"/>
    <w:rsid w:val="00700019"/>
    <w:rsid w:val="0070036E"/>
    <w:rsid w:val="007011FD"/>
    <w:rsid w:val="0070178E"/>
    <w:rsid w:val="00701B21"/>
    <w:rsid w:val="00702046"/>
    <w:rsid w:val="00702541"/>
    <w:rsid w:val="00702660"/>
    <w:rsid w:val="007027EB"/>
    <w:rsid w:val="00702B13"/>
    <w:rsid w:val="00702F86"/>
    <w:rsid w:val="00702FBE"/>
    <w:rsid w:val="00703411"/>
    <w:rsid w:val="00703738"/>
    <w:rsid w:val="00704197"/>
    <w:rsid w:val="00704463"/>
    <w:rsid w:val="0070498C"/>
    <w:rsid w:val="00704C4F"/>
    <w:rsid w:val="00704F81"/>
    <w:rsid w:val="007057DF"/>
    <w:rsid w:val="007057FD"/>
    <w:rsid w:val="0070599B"/>
    <w:rsid w:val="00705B27"/>
    <w:rsid w:val="00705E30"/>
    <w:rsid w:val="00705E35"/>
    <w:rsid w:val="00705E81"/>
    <w:rsid w:val="00706066"/>
    <w:rsid w:val="00706237"/>
    <w:rsid w:val="00706A01"/>
    <w:rsid w:val="0070773F"/>
    <w:rsid w:val="00707F3F"/>
    <w:rsid w:val="00707F5F"/>
    <w:rsid w:val="00707FA4"/>
    <w:rsid w:val="007103C3"/>
    <w:rsid w:val="007104EE"/>
    <w:rsid w:val="007106BF"/>
    <w:rsid w:val="00710819"/>
    <w:rsid w:val="00710E60"/>
    <w:rsid w:val="0071115D"/>
    <w:rsid w:val="007117ED"/>
    <w:rsid w:val="007119E9"/>
    <w:rsid w:val="00711AFA"/>
    <w:rsid w:val="007126B5"/>
    <w:rsid w:val="00712824"/>
    <w:rsid w:val="00712BF4"/>
    <w:rsid w:val="00712FB0"/>
    <w:rsid w:val="00713101"/>
    <w:rsid w:val="007137B7"/>
    <w:rsid w:val="00713B6C"/>
    <w:rsid w:val="00713FE6"/>
    <w:rsid w:val="007140D5"/>
    <w:rsid w:val="007141D5"/>
    <w:rsid w:val="007141FA"/>
    <w:rsid w:val="00715830"/>
    <w:rsid w:val="00715AC8"/>
    <w:rsid w:val="00715F19"/>
    <w:rsid w:val="00716053"/>
    <w:rsid w:val="007162F5"/>
    <w:rsid w:val="00716781"/>
    <w:rsid w:val="007167B9"/>
    <w:rsid w:val="007167F3"/>
    <w:rsid w:val="00716B93"/>
    <w:rsid w:val="00716E80"/>
    <w:rsid w:val="00716F5C"/>
    <w:rsid w:val="007170D7"/>
    <w:rsid w:val="00717AA7"/>
    <w:rsid w:val="00717AB0"/>
    <w:rsid w:val="00717DF5"/>
    <w:rsid w:val="00717F1A"/>
    <w:rsid w:val="00722808"/>
    <w:rsid w:val="00722994"/>
    <w:rsid w:val="00722AF6"/>
    <w:rsid w:val="00723A12"/>
    <w:rsid w:val="00723B67"/>
    <w:rsid w:val="00723FBF"/>
    <w:rsid w:val="00724150"/>
    <w:rsid w:val="00724789"/>
    <w:rsid w:val="00724C26"/>
    <w:rsid w:val="00724CC7"/>
    <w:rsid w:val="00724D39"/>
    <w:rsid w:val="00724D75"/>
    <w:rsid w:val="0072554E"/>
    <w:rsid w:val="007255F2"/>
    <w:rsid w:val="00725959"/>
    <w:rsid w:val="00725A33"/>
    <w:rsid w:val="00725E38"/>
    <w:rsid w:val="00726391"/>
    <w:rsid w:val="007265F5"/>
    <w:rsid w:val="00726932"/>
    <w:rsid w:val="007273B0"/>
    <w:rsid w:val="007276E2"/>
    <w:rsid w:val="0072789C"/>
    <w:rsid w:val="00727B83"/>
    <w:rsid w:val="00730252"/>
    <w:rsid w:val="007307B5"/>
    <w:rsid w:val="00730CE6"/>
    <w:rsid w:val="00731639"/>
    <w:rsid w:val="00731ABB"/>
    <w:rsid w:val="007326DD"/>
    <w:rsid w:val="00733364"/>
    <w:rsid w:val="00733CA3"/>
    <w:rsid w:val="00734150"/>
    <w:rsid w:val="0073513B"/>
    <w:rsid w:val="00735A20"/>
    <w:rsid w:val="00735EF5"/>
    <w:rsid w:val="00736005"/>
    <w:rsid w:val="007362B8"/>
    <w:rsid w:val="007370E0"/>
    <w:rsid w:val="00737221"/>
    <w:rsid w:val="007374E7"/>
    <w:rsid w:val="00737761"/>
    <w:rsid w:val="0073790B"/>
    <w:rsid w:val="00737D08"/>
    <w:rsid w:val="007402E4"/>
    <w:rsid w:val="007407AB"/>
    <w:rsid w:val="00741061"/>
    <w:rsid w:val="0074112C"/>
    <w:rsid w:val="0074165E"/>
    <w:rsid w:val="00741B3C"/>
    <w:rsid w:val="00741E8D"/>
    <w:rsid w:val="00742244"/>
    <w:rsid w:val="00742828"/>
    <w:rsid w:val="00742B0F"/>
    <w:rsid w:val="00743B46"/>
    <w:rsid w:val="00743D27"/>
    <w:rsid w:val="00744172"/>
    <w:rsid w:val="007447D0"/>
    <w:rsid w:val="00744923"/>
    <w:rsid w:val="00744ABC"/>
    <w:rsid w:val="00745145"/>
    <w:rsid w:val="0074544F"/>
    <w:rsid w:val="00745496"/>
    <w:rsid w:val="00745796"/>
    <w:rsid w:val="00746118"/>
    <w:rsid w:val="007461FB"/>
    <w:rsid w:val="007468B8"/>
    <w:rsid w:val="007474FC"/>
    <w:rsid w:val="00747B1E"/>
    <w:rsid w:val="00747C7E"/>
    <w:rsid w:val="00747E55"/>
    <w:rsid w:val="00747FAA"/>
    <w:rsid w:val="0075084A"/>
    <w:rsid w:val="00751080"/>
    <w:rsid w:val="00751599"/>
    <w:rsid w:val="00751617"/>
    <w:rsid w:val="00751DF8"/>
    <w:rsid w:val="00751E99"/>
    <w:rsid w:val="007523A3"/>
    <w:rsid w:val="007524AF"/>
    <w:rsid w:val="007528A0"/>
    <w:rsid w:val="00752E1F"/>
    <w:rsid w:val="00752F11"/>
    <w:rsid w:val="007534EA"/>
    <w:rsid w:val="00753BAE"/>
    <w:rsid w:val="00753BB5"/>
    <w:rsid w:val="00753D3F"/>
    <w:rsid w:val="007540B0"/>
    <w:rsid w:val="00754363"/>
    <w:rsid w:val="00754B9F"/>
    <w:rsid w:val="00754DE1"/>
    <w:rsid w:val="007551E5"/>
    <w:rsid w:val="0075538C"/>
    <w:rsid w:val="0075541E"/>
    <w:rsid w:val="00755854"/>
    <w:rsid w:val="00755CD4"/>
    <w:rsid w:val="00755EB7"/>
    <w:rsid w:val="007567E5"/>
    <w:rsid w:val="007567EC"/>
    <w:rsid w:val="0075691A"/>
    <w:rsid w:val="00756B96"/>
    <w:rsid w:val="0075770A"/>
    <w:rsid w:val="00757827"/>
    <w:rsid w:val="00757ADC"/>
    <w:rsid w:val="00757CBA"/>
    <w:rsid w:val="00757EE0"/>
    <w:rsid w:val="00760511"/>
    <w:rsid w:val="00760AF2"/>
    <w:rsid w:val="0076172C"/>
    <w:rsid w:val="00761CE6"/>
    <w:rsid w:val="00761D59"/>
    <w:rsid w:val="00761F9A"/>
    <w:rsid w:val="0076231E"/>
    <w:rsid w:val="00762AA1"/>
    <w:rsid w:val="007638D0"/>
    <w:rsid w:val="00763C0A"/>
    <w:rsid w:val="007645FB"/>
    <w:rsid w:val="0076481F"/>
    <w:rsid w:val="00764922"/>
    <w:rsid w:val="00764B60"/>
    <w:rsid w:val="00764F61"/>
    <w:rsid w:val="007650F6"/>
    <w:rsid w:val="007652F0"/>
    <w:rsid w:val="00765405"/>
    <w:rsid w:val="00765431"/>
    <w:rsid w:val="00765D65"/>
    <w:rsid w:val="00765E87"/>
    <w:rsid w:val="0076629F"/>
    <w:rsid w:val="0076693C"/>
    <w:rsid w:val="00766A44"/>
    <w:rsid w:val="00766F2C"/>
    <w:rsid w:val="00767308"/>
    <w:rsid w:val="007675A7"/>
    <w:rsid w:val="0076780E"/>
    <w:rsid w:val="00767B37"/>
    <w:rsid w:val="00767C6E"/>
    <w:rsid w:val="00767D0C"/>
    <w:rsid w:val="007702DE"/>
    <w:rsid w:val="0077033B"/>
    <w:rsid w:val="00771017"/>
    <w:rsid w:val="00771468"/>
    <w:rsid w:val="00771AAE"/>
    <w:rsid w:val="00771FEF"/>
    <w:rsid w:val="0077205F"/>
    <w:rsid w:val="00772111"/>
    <w:rsid w:val="0077221C"/>
    <w:rsid w:val="0077232B"/>
    <w:rsid w:val="00772394"/>
    <w:rsid w:val="007725B7"/>
    <w:rsid w:val="00772A02"/>
    <w:rsid w:val="00772B6E"/>
    <w:rsid w:val="00772FF2"/>
    <w:rsid w:val="0077321B"/>
    <w:rsid w:val="00773279"/>
    <w:rsid w:val="0077334C"/>
    <w:rsid w:val="00773B25"/>
    <w:rsid w:val="007746AC"/>
    <w:rsid w:val="007748E2"/>
    <w:rsid w:val="00774BD6"/>
    <w:rsid w:val="00774DE9"/>
    <w:rsid w:val="00774EF5"/>
    <w:rsid w:val="0077544C"/>
    <w:rsid w:val="007754D6"/>
    <w:rsid w:val="007757A2"/>
    <w:rsid w:val="00775DFA"/>
    <w:rsid w:val="007761B2"/>
    <w:rsid w:val="0077697B"/>
    <w:rsid w:val="00777274"/>
    <w:rsid w:val="00777911"/>
    <w:rsid w:val="00777D08"/>
    <w:rsid w:val="00777EA9"/>
    <w:rsid w:val="00777F0C"/>
    <w:rsid w:val="007803FD"/>
    <w:rsid w:val="00780633"/>
    <w:rsid w:val="00780684"/>
    <w:rsid w:val="00780764"/>
    <w:rsid w:val="007808B4"/>
    <w:rsid w:val="00780F61"/>
    <w:rsid w:val="00780F69"/>
    <w:rsid w:val="007812BE"/>
    <w:rsid w:val="007812C0"/>
    <w:rsid w:val="00781461"/>
    <w:rsid w:val="00781501"/>
    <w:rsid w:val="00781A29"/>
    <w:rsid w:val="00781B53"/>
    <w:rsid w:val="007820C5"/>
    <w:rsid w:val="007825F6"/>
    <w:rsid w:val="0078261F"/>
    <w:rsid w:val="0078275C"/>
    <w:rsid w:val="00782D57"/>
    <w:rsid w:val="00783384"/>
    <w:rsid w:val="007833E6"/>
    <w:rsid w:val="00783474"/>
    <w:rsid w:val="0078461B"/>
    <w:rsid w:val="00784A1F"/>
    <w:rsid w:val="00785417"/>
    <w:rsid w:val="007855ED"/>
    <w:rsid w:val="00785665"/>
    <w:rsid w:val="007857AC"/>
    <w:rsid w:val="00785CEF"/>
    <w:rsid w:val="007860CA"/>
    <w:rsid w:val="00786499"/>
    <w:rsid w:val="007866A7"/>
    <w:rsid w:val="007868B7"/>
    <w:rsid w:val="00786AC6"/>
    <w:rsid w:val="00786C06"/>
    <w:rsid w:val="00786CC2"/>
    <w:rsid w:val="00786E4B"/>
    <w:rsid w:val="00787112"/>
    <w:rsid w:val="00787904"/>
    <w:rsid w:val="00787D7A"/>
    <w:rsid w:val="00787FBA"/>
    <w:rsid w:val="00790072"/>
    <w:rsid w:val="007901A3"/>
    <w:rsid w:val="007902F1"/>
    <w:rsid w:val="0079088A"/>
    <w:rsid w:val="00790BCE"/>
    <w:rsid w:val="00790CBF"/>
    <w:rsid w:val="00790D0B"/>
    <w:rsid w:val="0079146A"/>
    <w:rsid w:val="0079175F"/>
    <w:rsid w:val="007918E7"/>
    <w:rsid w:val="00791A14"/>
    <w:rsid w:val="0079266F"/>
    <w:rsid w:val="007927E8"/>
    <w:rsid w:val="007927F5"/>
    <w:rsid w:val="00792B37"/>
    <w:rsid w:val="00792F90"/>
    <w:rsid w:val="007930C4"/>
    <w:rsid w:val="007930CA"/>
    <w:rsid w:val="0079327F"/>
    <w:rsid w:val="00793416"/>
    <w:rsid w:val="0079375D"/>
    <w:rsid w:val="007939C1"/>
    <w:rsid w:val="00794783"/>
    <w:rsid w:val="00795601"/>
    <w:rsid w:val="00795A88"/>
    <w:rsid w:val="00795B1F"/>
    <w:rsid w:val="00795DBB"/>
    <w:rsid w:val="00796496"/>
    <w:rsid w:val="0079764C"/>
    <w:rsid w:val="007977C0"/>
    <w:rsid w:val="00797ED2"/>
    <w:rsid w:val="007A0032"/>
    <w:rsid w:val="007A018B"/>
    <w:rsid w:val="007A0751"/>
    <w:rsid w:val="007A11EE"/>
    <w:rsid w:val="007A12D2"/>
    <w:rsid w:val="007A18FE"/>
    <w:rsid w:val="007A193D"/>
    <w:rsid w:val="007A1BD4"/>
    <w:rsid w:val="007A1E88"/>
    <w:rsid w:val="007A27E2"/>
    <w:rsid w:val="007A2E3A"/>
    <w:rsid w:val="007A2E65"/>
    <w:rsid w:val="007A3D0B"/>
    <w:rsid w:val="007A3FBA"/>
    <w:rsid w:val="007A41D2"/>
    <w:rsid w:val="007A4220"/>
    <w:rsid w:val="007A4CC2"/>
    <w:rsid w:val="007A4E33"/>
    <w:rsid w:val="007A51E0"/>
    <w:rsid w:val="007A56F7"/>
    <w:rsid w:val="007A60FB"/>
    <w:rsid w:val="007A620C"/>
    <w:rsid w:val="007A6265"/>
    <w:rsid w:val="007A66C5"/>
    <w:rsid w:val="007A710C"/>
    <w:rsid w:val="007A717F"/>
    <w:rsid w:val="007A71A1"/>
    <w:rsid w:val="007A71B9"/>
    <w:rsid w:val="007A7342"/>
    <w:rsid w:val="007A7555"/>
    <w:rsid w:val="007A7AB9"/>
    <w:rsid w:val="007A7CC7"/>
    <w:rsid w:val="007A7FD3"/>
    <w:rsid w:val="007B1A3E"/>
    <w:rsid w:val="007B2907"/>
    <w:rsid w:val="007B2E00"/>
    <w:rsid w:val="007B38CE"/>
    <w:rsid w:val="007B3E63"/>
    <w:rsid w:val="007B3F29"/>
    <w:rsid w:val="007B3FBD"/>
    <w:rsid w:val="007B400B"/>
    <w:rsid w:val="007B4153"/>
    <w:rsid w:val="007B4318"/>
    <w:rsid w:val="007B4899"/>
    <w:rsid w:val="007B4ACE"/>
    <w:rsid w:val="007B4CD7"/>
    <w:rsid w:val="007B4D03"/>
    <w:rsid w:val="007B61C5"/>
    <w:rsid w:val="007B6249"/>
    <w:rsid w:val="007B626A"/>
    <w:rsid w:val="007B62FD"/>
    <w:rsid w:val="007B634E"/>
    <w:rsid w:val="007B66C5"/>
    <w:rsid w:val="007B6954"/>
    <w:rsid w:val="007B6B3E"/>
    <w:rsid w:val="007B767A"/>
    <w:rsid w:val="007B7D39"/>
    <w:rsid w:val="007B7DD9"/>
    <w:rsid w:val="007C04C8"/>
    <w:rsid w:val="007C062D"/>
    <w:rsid w:val="007C09C2"/>
    <w:rsid w:val="007C13DC"/>
    <w:rsid w:val="007C1402"/>
    <w:rsid w:val="007C180A"/>
    <w:rsid w:val="007C191C"/>
    <w:rsid w:val="007C1C28"/>
    <w:rsid w:val="007C1CB1"/>
    <w:rsid w:val="007C1EAB"/>
    <w:rsid w:val="007C1F4A"/>
    <w:rsid w:val="007C280D"/>
    <w:rsid w:val="007C2923"/>
    <w:rsid w:val="007C2AD7"/>
    <w:rsid w:val="007C2B68"/>
    <w:rsid w:val="007C3073"/>
    <w:rsid w:val="007C3084"/>
    <w:rsid w:val="007C35B8"/>
    <w:rsid w:val="007C3789"/>
    <w:rsid w:val="007C3FAA"/>
    <w:rsid w:val="007C4164"/>
    <w:rsid w:val="007C41FA"/>
    <w:rsid w:val="007C4706"/>
    <w:rsid w:val="007C4B83"/>
    <w:rsid w:val="007C4DD7"/>
    <w:rsid w:val="007C509D"/>
    <w:rsid w:val="007C5A00"/>
    <w:rsid w:val="007C61F0"/>
    <w:rsid w:val="007C627E"/>
    <w:rsid w:val="007C6316"/>
    <w:rsid w:val="007C6662"/>
    <w:rsid w:val="007C677C"/>
    <w:rsid w:val="007C68F1"/>
    <w:rsid w:val="007C6C6A"/>
    <w:rsid w:val="007C6DFB"/>
    <w:rsid w:val="007C7077"/>
    <w:rsid w:val="007C74A5"/>
    <w:rsid w:val="007C797C"/>
    <w:rsid w:val="007D0900"/>
    <w:rsid w:val="007D09D1"/>
    <w:rsid w:val="007D0B54"/>
    <w:rsid w:val="007D123E"/>
    <w:rsid w:val="007D18AB"/>
    <w:rsid w:val="007D2509"/>
    <w:rsid w:val="007D2734"/>
    <w:rsid w:val="007D2AEB"/>
    <w:rsid w:val="007D30E1"/>
    <w:rsid w:val="007D31B4"/>
    <w:rsid w:val="007D328B"/>
    <w:rsid w:val="007D3A9B"/>
    <w:rsid w:val="007D40A8"/>
    <w:rsid w:val="007D45A7"/>
    <w:rsid w:val="007D48B2"/>
    <w:rsid w:val="007D50A7"/>
    <w:rsid w:val="007D5148"/>
    <w:rsid w:val="007D5381"/>
    <w:rsid w:val="007D5F2D"/>
    <w:rsid w:val="007D63C1"/>
    <w:rsid w:val="007D6529"/>
    <w:rsid w:val="007D6551"/>
    <w:rsid w:val="007D66ED"/>
    <w:rsid w:val="007D6819"/>
    <w:rsid w:val="007D6A2D"/>
    <w:rsid w:val="007D6A51"/>
    <w:rsid w:val="007D7085"/>
    <w:rsid w:val="007D7422"/>
    <w:rsid w:val="007D77B0"/>
    <w:rsid w:val="007D79BC"/>
    <w:rsid w:val="007D7C84"/>
    <w:rsid w:val="007E037A"/>
    <w:rsid w:val="007E06BF"/>
    <w:rsid w:val="007E0717"/>
    <w:rsid w:val="007E0A01"/>
    <w:rsid w:val="007E0ADD"/>
    <w:rsid w:val="007E0DE1"/>
    <w:rsid w:val="007E1D08"/>
    <w:rsid w:val="007E1EE1"/>
    <w:rsid w:val="007E1F04"/>
    <w:rsid w:val="007E2A3F"/>
    <w:rsid w:val="007E2FF6"/>
    <w:rsid w:val="007E31C4"/>
    <w:rsid w:val="007E3251"/>
    <w:rsid w:val="007E34AF"/>
    <w:rsid w:val="007E357F"/>
    <w:rsid w:val="007E35B3"/>
    <w:rsid w:val="007E39F9"/>
    <w:rsid w:val="007E3B0B"/>
    <w:rsid w:val="007E3B6D"/>
    <w:rsid w:val="007E3F5E"/>
    <w:rsid w:val="007E432A"/>
    <w:rsid w:val="007E4927"/>
    <w:rsid w:val="007E4BCE"/>
    <w:rsid w:val="007E4F62"/>
    <w:rsid w:val="007E55A8"/>
    <w:rsid w:val="007E5617"/>
    <w:rsid w:val="007E5B2E"/>
    <w:rsid w:val="007E5DDA"/>
    <w:rsid w:val="007E5EB3"/>
    <w:rsid w:val="007E60B0"/>
    <w:rsid w:val="007E685B"/>
    <w:rsid w:val="007E68F9"/>
    <w:rsid w:val="007E6CA8"/>
    <w:rsid w:val="007E6FA2"/>
    <w:rsid w:val="007E7DC8"/>
    <w:rsid w:val="007F0074"/>
    <w:rsid w:val="007F0164"/>
    <w:rsid w:val="007F0176"/>
    <w:rsid w:val="007F01EE"/>
    <w:rsid w:val="007F02FA"/>
    <w:rsid w:val="007F0692"/>
    <w:rsid w:val="007F0A07"/>
    <w:rsid w:val="007F103E"/>
    <w:rsid w:val="007F12E3"/>
    <w:rsid w:val="007F1885"/>
    <w:rsid w:val="007F1F62"/>
    <w:rsid w:val="007F20D5"/>
    <w:rsid w:val="007F2252"/>
    <w:rsid w:val="007F23A8"/>
    <w:rsid w:val="007F3198"/>
    <w:rsid w:val="007F3371"/>
    <w:rsid w:val="007F3858"/>
    <w:rsid w:val="007F3944"/>
    <w:rsid w:val="007F3D6D"/>
    <w:rsid w:val="007F3E4B"/>
    <w:rsid w:val="007F45AC"/>
    <w:rsid w:val="007F4BB9"/>
    <w:rsid w:val="007F4F19"/>
    <w:rsid w:val="007F5282"/>
    <w:rsid w:val="007F52F0"/>
    <w:rsid w:val="007F562B"/>
    <w:rsid w:val="007F594F"/>
    <w:rsid w:val="007F5DD2"/>
    <w:rsid w:val="007F663C"/>
    <w:rsid w:val="007F67F9"/>
    <w:rsid w:val="007F6AA6"/>
    <w:rsid w:val="007F6AC7"/>
    <w:rsid w:val="007F6B44"/>
    <w:rsid w:val="007F70F3"/>
    <w:rsid w:val="007F7130"/>
    <w:rsid w:val="007F73DE"/>
    <w:rsid w:val="007F75FE"/>
    <w:rsid w:val="007F7C58"/>
    <w:rsid w:val="00800A2D"/>
    <w:rsid w:val="00800F76"/>
    <w:rsid w:val="00801451"/>
    <w:rsid w:val="008018CB"/>
    <w:rsid w:val="00801BAD"/>
    <w:rsid w:val="008023FD"/>
    <w:rsid w:val="00802930"/>
    <w:rsid w:val="00802F6A"/>
    <w:rsid w:val="00803D78"/>
    <w:rsid w:val="00804424"/>
    <w:rsid w:val="008046A9"/>
    <w:rsid w:val="00804705"/>
    <w:rsid w:val="00804815"/>
    <w:rsid w:val="00804988"/>
    <w:rsid w:val="00805064"/>
    <w:rsid w:val="0080519F"/>
    <w:rsid w:val="0080595B"/>
    <w:rsid w:val="00805CCE"/>
    <w:rsid w:val="00806204"/>
    <w:rsid w:val="00806635"/>
    <w:rsid w:val="00806902"/>
    <w:rsid w:val="008069FF"/>
    <w:rsid w:val="00806CCE"/>
    <w:rsid w:val="008076CB"/>
    <w:rsid w:val="008078F1"/>
    <w:rsid w:val="00807D34"/>
    <w:rsid w:val="00810110"/>
    <w:rsid w:val="0081056E"/>
    <w:rsid w:val="0081078E"/>
    <w:rsid w:val="008107C4"/>
    <w:rsid w:val="00811A4D"/>
    <w:rsid w:val="00811EFE"/>
    <w:rsid w:val="00812465"/>
    <w:rsid w:val="00812499"/>
    <w:rsid w:val="008126F4"/>
    <w:rsid w:val="008127D2"/>
    <w:rsid w:val="008128E0"/>
    <w:rsid w:val="00812B1F"/>
    <w:rsid w:val="00813D71"/>
    <w:rsid w:val="008140A3"/>
    <w:rsid w:val="00814505"/>
    <w:rsid w:val="0081458C"/>
    <w:rsid w:val="0081464B"/>
    <w:rsid w:val="008146CD"/>
    <w:rsid w:val="00814C92"/>
    <w:rsid w:val="00814DDC"/>
    <w:rsid w:val="00816B01"/>
    <w:rsid w:val="00816C15"/>
    <w:rsid w:val="00816E7F"/>
    <w:rsid w:val="0081772D"/>
    <w:rsid w:val="008204DE"/>
    <w:rsid w:val="0082070C"/>
    <w:rsid w:val="00820969"/>
    <w:rsid w:val="00820D6D"/>
    <w:rsid w:val="0082135F"/>
    <w:rsid w:val="00821B04"/>
    <w:rsid w:val="00821B5B"/>
    <w:rsid w:val="0082222D"/>
    <w:rsid w:val="00822570"/>
    <w:rsid w:val="0082270A"/>
    <w:rsid w:val="008227CA"/>
    <w:rsid w:val="00822AF8"/>
    <w:rsid w:val="00822E9B"/>
    <w:rsid w:val="00823691"/>
    <w:rsid w:val="008239A7"/>
    <w:rsid w:val="00823B34"/>
    <w:rsid w:val="00823C70"/>
    <w:rsid w:val="00823E8E"/>
    <w:rsid w:val="008243C6"/>
    <w:rsid w:val="008249C9"/>
    <w:rsid w:val="00824BC3"/>
    <w:rsid w:val="00824CF7"/>
    <w:rsid w:val="00824E9C"/>
    <w:rsid w:val="0082562D"/>
    <w:rsid w:val="00825C47"/>
    <w:rsid w:val="00825D01"/>
    <w:rsid w:val="008261B3"/>
    <w:rsid w:val="008264A2"/>
    <w:rsid w:val="00826950"/>
    <w:rsid w:val="00826DD9"/>
    <w:rsid w:val="00827186"/>
    <w:rsid w:val="00827738"/>
    <w:rsid w:val="00827806"/>
    <w:rsid w:val="00827905"/>
    <w:rsid w:val="00827DB4"/>
    <w:rsid w:val="00827E62"/>
    <w:rsid w:val="008309D4"/>
    <w:rsid w:val="00830ABF"/>
    <w:rsid w:val="00830E06"/>
    <w:rsid w:val="00830E76"/>
    <w:rsid w:val="0083195A"/>
    <w:rsid w:val="00831EDA"/>
    <w:rsid w:val="00831F42"/>
    <w:rsid w:val="00832660"/>
    <w:rsid w:val="00832819"/>
    <w:rsid w:val="00832961"/>
    <w:rsid w:val="00832AC1"/>
    <w:rsid w:val="00832C41"/>
    <w:rsid w:val="00832C83"/>
    <w:rsid w:val="00832E9B"/>
    <w:rsid w:val="008337EE"/>
    <w:rsid w:val="00833865"/>
    <w:rsid w:val="008339A4"/>
    <w:rsid w:val="00833B03"/>
    <w:rsid w:val="00833C64"/>
    <w:rsid w:val="00833CC6"/>
    <w:rsid w:val="00834870"/>
    <w:rsid w:val="00834BDA"/>
    <w:rsid w:val="008350DB"/>
    <w:rsid w:val="00835155"/>
    <w:rsid w:val="00835677"/>
    <w:rsid w:val="008358C3"/>
    <w:rsid w:val="00835A09"/>
    <w:rsid w:val="00835A15"/>
    <w:rsid w:val="00835BAE"/>
    <w:rsid w:val="00835BCE"/>
    <w:rsid w:val="00835C86"/>
    <w:rsid w:val="0083605A"/>
    <w:rsid w:val="0083616E"/>
    <w:rsid w:val="0083625B"/>
    <w:rsid w:val="00836696"/>
    <w:rsid w:val="0083679B"/>
    <w:rsid w:val="00836DE7"/>
    <w:rsid w:val="00836DF9"/>
    <w:rsid w:val="0083705C"/>
    <w:rsid w:val="0083787A"/>
    <w:rsid w:val="0084041A"/>
    <w:rsid w:val="008409C6"/>
    <w:rsid w:val="00840FB6"/>
    <w:rsid w:val="008411B8"/>
    <w:rsid w:val="008414DE"/>
    <w:rsid w:val="00841DCB"/>
    <w:rsid w:val="008427E0"/>
    <w:rsid w:val="00842C46"/>
    <w:rsid w:val="00842D83"/>
    <w:rsid w:val="00842EAE"/>
    <w:rsid w:val="00843F8C"/>
    <w:rsid w:val="008444EB"/>
    <w:rsid w:val="0084485B"/>
    <w:rsid w:val="008449ED"/>
    <w:rsid w:val="00844F5D"/>
    <w:rsid w:val="00845B59"/>
    <w:rsid w:val="00845D0A"/>
    <w:rsid w:val="00845E8A"/>
    <w:rsid w:val="00845EF2"/>
    <w:rsid w:val="008460A6"/>
    <w:rsid w:val="0084610A"/>
    <w:rsid w:val="00846220"/>
    <w:rsid w:val="00846604"/>
    <w:rsid w:val="00846726"/>
    <w:rsid w:val="0084693F"/>
    <w:rsid w:val="00846ABD"/>
    <w:rsid w:val="00846BD9"/>
    <w:rsid w:val="00846C81"/>
    <w:rsid w:val="00846CC3"/>
    <w:rsid w:val="00847073"/>
    <w:rsid w:val="008472CD"/>
    <w:rsid w:val="0084742F"/>
    <w:rsid w:val="008476D4"/>
    <w:rsid w:val="00847702"/>
    <w:rsid w:val="00847A58"/>
    <w:rsid w:val="00850140"/>
    <w:rsid w:val="00850E54"/>
    <w:rsid w:val="0085116E"/>
    <w:rsid w:val="0085159A"/>
    <w:rsid w:val="00851AB0"/>
    <w:rsid w:val="0085244B"/>
    <w:rsid w:val="00852784"/>
    <w:rsid w:val="00852E4A"/>
    <w:rsid w:val="0085336B"/>
    <w:rsid w:val="008535FB"/>
    <w:rsid w:val="00853693"/>
    <w:rsid w:val="00853C6C"/>
    <w:rsid w:val="00853FC3"/>
    <w:rsid w:val="0085422D"/>
    <w:rsid w:val="00854A9B"/>
    <w:rsid w:val="0085597A"/>
    <w:rsid w:val="00855B80"/>
    <w:rsid w:val="00856168"/>
    <w:rsid w:val="00856890"/>
    <w:rsid w:val="00856C08"/>
    <w:rsid w:val="00857098"/>
    <w:rsid w:val="0085722F"/>
    <w:rsid w:val="008574F9"/>
    <w:rsid w:val="008577F3"/>
    <w:rsid w:val="00857E08"/>
    <w:rsid w:val="00860B71"/>
    <w:rsid w:val="00860E35"/>
    <w:rsid w:val="00861037"/>
    <w:rsid w:val="00861076"/>
    <w:rsid w:val="00861294"/>
    <w:rsid w:val="008618D8"/>
    <w:rsid w:val="00861BB8"/>
    <w:rsid w:val="00861CB0"/>
    <w:rsid w:val="0086294E"/>
    <w:rsid w:val="00862B92"/>
    <w:rsid w:val="00862E23"/>
    <w:rsid w:val="00863896"/>
    <w:rsid w:val="00863A49"/>
    <w:rsid w:val="00863F4E"/>
    <w:rsid w:val="008645EB"/>
    <w:rsid w:val="00864692"/>
    <w:rsid w:val="0086496D"/>
    <w:rsid w:val="00864A17"/>
    <w:rsid w:val="00864B3E"/>
    <w:rsid w:val="0086504A"/>
    <w:rsid w:val="008651D5"/>
    <w:rsid w:val="00865755"/>
    <w:rsid w:val="0086606E"/>
    <w:rsid w:val="008667CF"/>
    <w:rsid w:val="00866BF8"/>
    <w:rsid w:val="00867107"/>
    <w:rsid w:val="008676EE"/>
    <w:rsid w:val="00870C41"/>
    <w:rsid w:val="0087106E"/>
    <w:rsid w:val="00871364"/>
    <w:rsid w:val="008715B9"/>
    <w:rsid w:val="008717BF"/>
    <w:rsid w:val="0087229E"/>
    <w:rsid w:val="00872A33"/>
    <w:rsid w:val="00872A4C"/>
    <w:rsid w:val="00872E33"/>
    <w:rsid w:val="00872E5C"/>
    <w:rsid w:val="00872FD7"/>
    <w:rsid w:val="008731D7"/>
    <w:rsid w:val="00873921"/>
    <w:rsid w:val="00873E75"/>
    <w:rsid w:val="00874449"/>
    <w:rsid w:val="008747C8"/>
    <w:rsid w:val="008747F8"/>
    <w:rsid w:val="008757AD"/>
    <w:rsid w:val="00876A36"/>
    <w:rsid w:val="00876A8E"/>
    <w:rsid w:val="00876BA4"/>
    <w:rsid w:val="00876E8A"/>
    <w:rsid w:val="00876EF5"/>
    <w:rsid w:val="00876F87"/>
    <w:rsid w:val="00877D9D"/>
    <w:rsid w:val="00877FE6"/>
    <w:rsid w:val="0088061E"/>
    <w:rsid w:val="00880842"/>
    <w:rsid w:val="00880C6C"/>
    <w:rsid w:val="00880D5B"/>
    <w:rsid w:val="00880FE2"/>
    <w:rsid w:val="008810BA"/>
    <w:rsid w:val="008811D9"/>
    <w:rsid w:val="00881406"/>
    <w:rsid w:val="00881A8C"/>
    <w:rsid w:val="00881E34"/>
    <w:rsid w:val="008822A0"/>
    <w:rsid w:val="0088240C"/>
    <w:rsid w:val="008826CB"/>
    <w:rsid w:val="00882A7C"/>
    <w:rsid w:val="00882C13"/>
    <w:rsid w:val="008832B0"/>
    <w:rsid w:val="008836A2"/>
    <w:rsid w:val="00883705"/>
    <w:rsid w:val="0088417A"/>
    <w:rsid w:val="0088426B"/>
    <w:rsid w:val="00884F5F"/>
    <w:rsid w:val="008854CC"/>
    <w:rsid w:val="00885613"/>
    <w:rsid w:val="00885694"/>
    <w:rsid w:val="00885BB9"/>
    <w:rsid w:val="00885D48"/>
    <w:rsid w:val="008860B5"/>
    <w:rsid w:val="00886209"/>
    <w:rsid w:val="0088634F"/>
    <w:rsid w:val="00886889"/>
    <w:rsid w:val="0088694B"/>
    <w:rsid w:val="00886CD3"/>
    <w:rsid w:val="008874F1"/>
    <w:rsid w:val="00890063"/>
    <w:rsid w:val="008904CB"/>
    <w:rsid w:val="00890579"/>
    <w:rsid w:val="0089072D"/>
    <w:rsid w:val="00890E7A"/>
    <w:rsid w:val="008916CD"/>
    <w:rsid w:val="00892765"/>
    <w:rsid w:val="008928CC"/>
    <w:rsid w:val="0089317C"/>
    <w:rsid w:val="0089335B"/>
    <w:rsid w:val="008933CC"/>
    <w:rsid w:val="00893646"/>
    <w:rsid w:val="00893707"/>
    <w:rsid w:val="00893DC9"/>
    <w:rsid w:val="00893EE8"/>
    <w:rsid w:val="00894454"/>
    <w:rsid w:val="00894835"/>
    <w:rsid w:val="008949A3"/>
    <w:rsid w:val="00894BE8"/>
    <w:rsid w:val="00894DAE"/>
    <w:rsid w:val="0089588F"/>
    <w:rsid w:val="00895E5F"/>
    <w:rsid w:val="00896821"/>
    <w:rsid w:val="008968B4"/>
    <w:rsid w:val="00896FA9"/>
    <w:rsid w:val="0089711F"/>
    <w:rsid w:val="008977B2"/>
    <w:rsid w:val="00897BD4"/>
    <w:rsid w:val="008A0117"/>
    <w:rsid w:val="008A05F5"/>
    <w:rsid w:val="008A0659"/>
    <w:rsid w:val="008A0A10"/>
    <w:rsid w:val="008A0AD2"/>
    <w:rsid w:val="008A1BF3"/>
    <w:rsid w:val="008A1C70"/>
    <w:rsid w:val="008A1F78"/>
    <w:rsid w:val="008A2255"/>
    <w:rsid w:val="008A260A"/>
    <w:rsid w:val="008A26D3"/>
    <w:rsid w:val="008A2C71"/>
    <w:rsid w:val="008A3649"/>
    <w:rsid w:val="008A3BEF"/>
    <w:rsid w:val="008A3E70"/>
    <w:rsid w:val="008A3F08"/>
    <w:rsid w:val="008A422C"/>
    <w:rsid w:val="008A43E9"/>
    <w:rsid w:val="008A486B"/>
    <w:rsid w:val="008A592C"/>
    <w:rsid w:val="008A5D71"/>
    <w:rsid w:val="008A6984"/>
    <w:rsid w:val="008A6B9D"/>
    <w:rsid w:val="008A766F"/>
    <w:rsid w:val="008A768C"/>
    <w:rsid w:val="008A77E3"/>
    <w:rsid w:val="008A786C"/>
    <w:rsid w:val="008A7C9F"/>
    <w:rsid w:val="008B02C8"/>
    <w:rsid w:val="008B06FC"/>
    <w:rsid w:val="008B094E"/>
    <w:rsid w:val="008B0B58"/>
    <w:rsid w:val="008B0E2C"/>
    <w:rsid w:val="008B100F"/>
    <w:rsid w:val="008B11D9"/>
    <w:rsid w:val="008B137A"/>
    <w:rsid w:val="008B1404"/>
    <w:rsid w:val="008B14D0"/>
    <w:rsid w:val="008B1A61"/>
    <w:rsid w:val="008B1AB6"/>
    <w:rsid w:val="008B2C35"/>
    <w:rsid w:val="008B3AB5"/>
    <w:rsid w:val="008B3F74"/>
    <w:rsid w:val="008B402B"/>
    <w:rsid w:val="008B433E"/>
    <w:rsid w:val="008B463C"/>
    <w:rsid w:val="008B4CCD"/>
    <w:rsid w:val="008B4E88"/>
    <w:rsid w:val="008B507B"/>
    <w:rsid w:val="008B556D"/>
    <w:rsid w:val="008B5954"/>
    <w:rsid w:val="008B5C94"/>
    <w:rsid w:val="008B617A"/>
    <w:rsid w:val="008B6432"/>
    <w:rsid w:val="008B67AD"/>
    <w:rsid w:val="008B6B58"/>
    <w:rsid w:val="008B723E"/>
    <w:rsid w:val="008B75B4"/>
    <w:rsid w:val="008B775B"/>
    <w:rsid w:val="008B78B1"/>
    <w:rsid w:val="008B7A8B"/>
    <w:rsid w:val="008B7BCC"/>
    <w:rsid w:val="008B7C52"/>
    <w:rsid w:val="008B7C7B"/>
    <w:rsid w:val="008C01A9"/>
    <w:rsid w:val="008C033F"/>
    <w:rsid w:val="008C0387"/>
    <w:rsid w:val="008C0567"/>
    <w:rsid w:val="008C05EA"/>
    <w:rsid w:val="008C079D"/>
    <w:rsid w:val="008C0826"/>
    <w:rsid w:val="008C09A4"/>
    <w:rsid w:val="008C0B0A"/>
    <w:rsid w:val="008C0F29"/>
    <w:rsid w:val="008C152A"/>
    <w:rsid w:val="008C1660"/>
    <w:rsid w:val="008C1747"/>
    <w:rsid w:val="008C1D30"/>
    <w:rsid w:val="008C23C7"/>
    <w:rsid w:val="008C25EC"/>
    <w:rsid w:val="008C2CFE"/>
    <w:rsid w:val="008C3110"/>
    <w:rsid w:val="008C335C"/>
    <w:rsid w:val="008C33E2"/>
    <w:rsid w:val="008C33FE"/>
    <w:rsid w:val="008C378A"/>
    <w:rsid w:val="008C37BC"/>
    <w:rsid w:val="008C3AD3"/>
    <w:rsid w:val="008C3AF6"/>
    <w:rsid w:val="008C41AF"/>
    <w:rsid w:val="008C4A8B"/>
    <w:rsid w:val="008C4BA9"/>
    <w:rsid w:val="008C4F58"/>
    <w:rsid w:val="008C4FC6"/>
    <w:rsid w:val="008C51FA"/>
    <w:rsid w:val="008C5A20"/>
    <w:rsid w:val="008C67D8"/>
    <w:rsid w:val="008C69F7"/>
    <w:rsid w:val="008C6E16"/>
    <w:rsid w:val="008C74E4"/>
    <w:rsid w:val="008C7524"/>
    <w:rsid w:val="008C75D0"/>
    <w:rsid w:val="008C7A2A"/>
    <w:rsid w:val="008C7B2D"/>
    <w:rsid w:val="008C7E5C"/>
    <w:rsid w:val="008C7FF3"/>
    <w:rsid w:val="008D05FA"/>
    <w:rsid w:val="008D0803"/>
    <w:rsid w:val="008D080F"/>
    <w:rsid w:val="008D08BE"/>
    <w:rsid w:val="008D1053"/>
    <w:rsid w:val="008D12E3"/>
    <w:rsid w:val="008D17B6"/>
    <w:rsid w:val="008D1861"/>
    <w:rsid w:val="008D198A"/>
    <w:rsid w:val="008D21B5"/>
    <w:rsid w:val="008D2790"/>
    <w:rsid w:val="008D2995"/>
    <w:rsid w:val="008D29FD"/>
    <w:rsid w:val="008D2DF9"/>
    <w:rsid w:val="008D3BED"/>
    <w:rsid w:val="008D3E66"/>
    <w:rsid w:val="008D45D3"/>
    <w:rsid w:val="008D4857"/>
    <w:rsid w:val="008D6A8E"/>
    <w:rsid w:val="008D704E"/>
    <w:rsid w:val="008D7346"/>
    <w:rsid w:val="008D7DFB"/>
    <w:rsid w:val="008E0521"/>
    <w:rsid w:val="008E07EF"/>
    <w:rsid w:val="008E0832"/>
    <w:rsid w:val="008E0948"/>
    <w:rsid w:val="008E0A42"/>
    <w:rsid w:val="008E0D20"/>
    <w:rsid w:val="008E1517"/>
    <w:rsid w:val="008E19A6"/>
    <w:rsid w:val="008E1BEB"/>
    <w:rsid w:val="008E22F8"/>
    <w:rsid w:val="008E2840"/>
    <w:rsid w:val="008E2E4A"/>
    <w:rsid w:val="008E33BD"/>
    <w:rsid w:val="008E3A8C"/>
    <w:rsid w:val="008E3D9C"/>
    <w:rsid w:val="008E3F42"/>
    <w:rsid w:val="008E4073"/>
    <w:rsid w:val="008E40C6"/>
    <w:rsid w:val="008E4579"/>
    <w:rsid w:val="008E474E"/>
    <w:rsid w:val="008E4794"/>
    <w:rsid w:val="008E47E4"/>
    <w:rsid w:val="008E492D"/>
    <w:rsid w:val="008E4B5D"/>
    <w:rsid w:val="008E4E7F"/>
    <w:rsid w:val="008E60DB"/>
    <w:rsid w:val="008E6B0F"/>
    <w:rsid w:val="008E6B6E"/>
    <w:rsid w:val="008E6E9C"/>
    <w:rsid w:val="008E6F00"/>
    <w:rsid w:val="008E73AF"/>
    <w:rsid w:val="008E7A6F"/>
    <w:rsid w:val="008E7C21"/>
    <w:rsid w:val="008E7C57"/>
    <w:rsid w:val="008E7D24"/>
    <w:rsid w:val="008E7E69"/>
    <w:rsid w:val="008F00D6"/>
    <w:rsid w:val="008F0C9F"/>
    <w:rsid w:val="008F0ECB"/>
    <w:rsid w:val="008F1399"/>
    <w:rsid w:val="008F194C"/>
    <w:rsid w:val="008F1AA7"/>
    <w:rsid w:val="008F1DB8"/>
    <w:rsid w:val="008F20CE"/>
    <w:rsid w:val="008F22D2"/>
    <w:rsid w:val="008F23EA"/>
    <w:rsid w:val="008F2C00"/>
    <w:rsid w:val="008F3171"/>
    <w:rsid w:val="008F3BB5"/>
    <w:rsid w:val="008F4126"/>
    <w:rsid w:val="008F433B"/>
    <w:rsid w:val="008F4DE4"/>
    <w:rsid w:val="008F55EB"/>
    <w:rsid w:val="008F5653"/>
    <w:rsid w:val="008F5815"/>
    <w:rsid w:val="008F582A"/>
    <w:rsid w:val="008F5F95"/>
    <w:rsid w:val="008F5FCC"/>
    <w:rsid w:val="008F6031"/>
    <w:rsid w:val="008F612C"/>
    <w:rsid w:val="008F635A"/>
    <w:rsid w:val="008F63F2"/>
    <w:rsid w:val="008F64FF"/>
    <w:rsid w:val="008F6D5E"/>
    <w:rsid w:val="008F7459"/>
    <w:rsid w:val="008F7468"/>
    <w:rsid w:val="008F75DB"/>
    <w:rsid w:val="008F7A6D"/>
    <w:rsid w:val="008F7AD1"/>
    <w:rsid w:val="00900157"/>
    <w:rsid w:val="009004A0"/>
    <w:rsid w:val="00900972"/>
    <w:rsid w:val="00900C86"/>
    <w:rsid w:val="00900D18"/>
    <w:rsid w:val="0090104A"/>
    <w:rsid w:val="00901320"/>
    <w:rsid w:val="0090133A"/>
    <w:rsid w:val="009016A0"/>
    <w:rsid w:val="0090180E"/>
    <w:rsid w:val="009021A2"/>
    <w:rsid w:val="00902223"/>
    <w:rsid w:val="009023A5"/>
    <w:rsid w:val="00902759"/>
    <w:rsid w:val="00902C9B"/>
    <w:rsid w:val="009030ED"/>
    <w:rsid w:val="009031B5"/>
    <w:rsid w:val="009031DA"/>
    <w:rsid w:val="00903270"/>
    <w:rsid w:val="00903683"/>
    <w:rsid w:val="00903A79"/>
    <w:rsid w:val="00903CD7"/>
    <w:rsid w:val="00904644"/>
    <w:rsid w:val="00904808"/>
    <w:rsid w:val="00904AB3"/>
    <w:rsid w:val="00904F67"/>
    <w:rsid w:val="009051C1"/>
    <w:rsid w:val="00905671"/>
    <w:rsid w:val="009056C9"/>
    <w:rsid w:val="009059E7"/>
    <w:rsid w:val="00905B96"/>
    <w:rsid w:val="00906179"/>
    <w:rsid w:val="00906542"/>
    <w:rsid w:val="00906BA3"/>
    <w:rsid w:val="00906D30"/>
    <w:rsid w:val="009072E4"/>
    <w:rsid w:val="009074A6"/>
    <w:rsid w:val="00907873"/>
    <w:rsid w:val="00910221"/>
    <w:rsid w:val="0091038A"/>
    <w:rsid w:val="00910C14"/>
    <w:rsid w:val="0091173B"/>
    <w:rsid w:val="009118FE"/>
    <w:rsid w:val="009119B6"/>
    <w:rsid w:val="00911A43"/>
    <w:rsid w:val="00911BA6"/>
    <w:rsid w:val="00911C4A"/>
    <w:rsid w:val="00912029"/>
    <w:rsid w:val="00912174"/>
    <w:rsid w:val="00912243"/>
    <w:rsid w:val="009122FD"/>
    <w:rsid w:val="009123F5"/>
    <w:rsid w:val="0091275F"/>
    <w:rsid w:val="00912AAC"/>
    <w:rsid w:val="00912D7A"/>
    <w:rsid w:val="00912DB1"/>
    <w:rsid w:val="00912EEF"/>
    <w:rsid w:val="009135BE"/>
    <w:rsid w:val="00913B20"/>
    <w:rsid w:val="00913B89"/>
    <w:rsid w:val="009143AC"/>
    <w:rsid w:val="00914466"/>
    <w:rsid w:val="00914674"/>
    <w:rsid w:val="00914CCC"/>
    <w:rsid w:val="00915315"/>
    <w:rsid w:val="009153DC"/>
    <w:rsid w:val="00915488"/>
    <w:rsid w:val="009154ED"/>
    <w:rsid w:val="009158F8"/>
    <w:rsid w:val="009160C9"/>
    <w:rsid w:val="0091634A"/>
    <w:rsid w:val="00916492"/>
    <w:rsid w:val="009166D3"/>
    <w:rsid w:val="00916816"/>
    <w:rsid w:val="00916D9E"/>
    <w:rsid w:val="00917272"/>
    <w:rsid w:val="009173C8"/>
    <w:rsid w:val="009176C1"/>
    <w:rsid w:val="00917DD2"/>
    <w:rsid w:val="00917EE6"/>
    <w:rsid w:val="00917FE8"/>
    <w:rsid w:val="00920032"/>
    <w:rsid w:val="0092017F"/>
    <w:rsid w:val="0092025B"/>
    <w:rsid w:val="009205CB"/>
    <w:rsid w:val="009206DC"/>
    <w:rsid w:val="00920988"/>
    <w:rsid w:val="00920FCD"/>
    <w:rsid w:val="00921083"/>
    <w:rsid w:val="00921563"/>
    <w:rsid w:val="00921771"/>
    <w:rsid w:val="00921CBD"/>
    <w:rsid w:val="0092254D"/>
    <w:rsid w:val="00922586"/>
    <w:rsid w:val="009227DA"/>
    <w:rsid w:val="00922811"/>
    <w:rsid w:val="00922931"/>
    <w:rsid w:val="009230C3"/>
    <w:rsid w:val="00923208"/>
    <w:rsid w:val="009232AD"/>
    <w:rsid w:val="009234AD"/>
    <w:rsid w:val="00923843"/>
    <w:rsid w:val="00923A95"/>
    <w:rsid w:val="00924307"/>
    <w:rsid w:val="009248C7"/>
    <w:rsid w:val="00924D0B"/>
    <w:rsid w:val="00924F5E"/>
    <w:rsid w:val="0092568E"/>
    <w:rsid w:val="0092589A"/>
    <w:rsid w:val="00925968"/>
    <w:rsid w:val="00925B88"/>
    <w:rsid w:val="00925C69"/>
    <w:rsid w:val="009262B6"/>
    <w:rsid w:val="00926884"/>
    <w:rsid w:val="00926D97"/>
    <w:rsid w:val="00926E70"/>
    <w:rsid w:val="009270EC"/>
    <w:rsid w:val="009271BD"/>
    <w:rsid w:val="00927709"/>
    <w:rsid w:val="009277D9"/>
    <w:rsid w:val="00927B5D"/>
    <w:rsid w:val="00927DBB"/>
    <w:rsid w:val="00927EEE"/>
    <w:rsid w:val="0093013C"/>
    <w:rsid w:val="00930459"/>
    <w:rsid w:val="009313CA"/>
    <w:rsid w:val="009313D7"/>
    <w:rsid w:val="00931497"/>
    <w:rsid w:val="00931AAA"/>
    <w:rsid w:val="00931C0F"/>
    <w:rsid w:val="00931EEE"/>
    <w:rsid w:val="00932C71"/>
    <w:rsid w:val="0093469D"/>
    <w:rsid w:val="00934EAA"/>
    <w:rsid w:val="00934FE2"/>
    <w:rsid w:val="009356D3"/>
    <w:rsid w:val="00935FCE"/>
    <w:rsid w:val="009365D4"/>
    <w:rsid w:val="00936BFF"/>
    <w:rsid w:val="00936E87"/>
    <w:rsid w:val="00936EC1"/>
    <w:rsid w:val="009376F7"/>
    <w:rsid w:val="00937D8E"/>
    <w:rsid w:val="0094004C"/>
    <w:rsid w:val="0094032F"/>
    <w:rsid w:val="00940902"/>
    <w:rsid w:val="00940D2E"/>
    <w:rsid w:val="00940D84"/>
    <w:rsid w:val="009411B9"/>
    <w:rsid w:val="0094131D"/>
    <w:rsid w:val="009419DC"/>
    <w:rsid w:val="009420F2"/>
    <w:rsid w:val="009422B8"/>
    <w:rsid w:val="009425D0"/>
    <w:rsid w:val="009425F1"/>
    <w:rsid w:val="009428F1"/>
    <w:rsid w:val="009439DA"/>
    <w:rsid w:val="00944409"/>
    <w:rsid w:val="009444F9"/>
    <w:rsid w:val="00944572"/>
    <w:rsid w:val="00944BA9"/>
    <w:rsid w:val="00944DB5"/>
    <w:rsid w:val="00944DF3"/>
    <w:rsid w:val="009452BF"/>
    <w:rsid w:val="0094550E"/>
    <w:rsid w:val="0094575D"/>
    <w:rsid w:val="009457B5"/>
    <w:rsid w:val="00945E11"/>
    <w:rsid w:val="009461F1"/>
    <w:rsid w:val="00946340"/>
    <w:rsid w:val="0094645B"/>
    <w:rsid w:val="009468CF"/>
    <w:rsid w:val="009470B1"/>
    <w:rsid w:val="00947748"/>
    <w:rsid w:val="00947AAF"/>
    <w:rsid w:val="00950405"/>
    <w:rsid w:val="009505F3"/>
    <w:rsid w:val="009507C5"/>
    <w:rsid w:val="00950927"/>
    <w:rsid w:val="00950A5E"/>
    <w:rsid w:val="0095126D"/>
    <w:rsid w:val="00951563"/>
    <w:rsid w:val="00951C15"/>
    <w:rsid w:val="009521BB"/>
    <w:rsid w:val="0095226E"/>
    <w:rsid w:val="00952281"/>
    <w:rsid w:val="00952BDA"/>
    <w:rsid w:val="00952FE0"/>
    <w:rsid w:val="00953883"/>
    <w:rsid w:val="009539C4"/>
    <w:rsid w:val="00953FB1"/>
    <w:rsid w:val="00954471"/>
    <w:rsid w:val="00954750"/>
    <w:rsid w:val="009547B0"/>
    <w:rsid w:val="00954B75"/>
    <w:rsid w:val="00954CB9"/>
    <w:rsid w:val="00955181"/>
    <w:rsid w:val="00955A3C"/>
    <w:rsid w:val="00955FBC"/>
    <w:rsid w:val="0095615E"/>
    <w:rsid w:val="00956567"/>
    <w:rsid w:val="009566F6"/>
    <w:rsid w:val="00956850"/>
    <w:rsid w:val="00956926"/>
    <w:rsid w:val="00956AE8"/>
    <w:rsid w:val="00956B1A"/>
    <w:rsid w:val="00956C2A"/>
    <w:rsid w:val="00957298"/>
    <w:rsid w:val="009573CB"/>
    <w:rsid w:val="00957BBD"/>
    <w:rsid w:val="00957F82"/>
    <w:rsid w:val="00960000"/>
    <w:rsid w:val="00960075"/>
    <w:rsid w:val="0096042F"/>
    <w:rsid w:val="0096052B"/>
    <w:rsid w:val="0096054A"/>
    <w:rsid w:val="0096058F"/>
    <w:rsid w:val="009606B9"/>
    <w:rsid w:val="0096093A"/>
    <w:rsid w:val="00961151"/>
    <w:rsid w:val="00961187"/>
    <w:rsid w:val="009613E4"/>
    <w:rsid w:val="0096248E"/>
    <w:rsid w:val="009625DD"/>
    <w:rsid w:val="00962736"/>
    <w:rsid w:val="00962963"/>
    <w:rsid w:val="00962F6B"/>
    <w:rsid w:val="00962FAD"/>
    <w:rsid w:val="009630A8"/>
    <w:rsid w:val="00964791"/>
    <w:rsid w:val="009654C8"/>
    <w:rsid w:val="00965518"/>
    <w:rsid w:val="009656EA"/>
    <w:rsid w:val="009661C5"/>
    <w:rsid w:val="009668F0"/>
    <w:rsid w:val="00966B24"/>
    <w:rsid w:val="00966F73"/>
    <w:rsid w:val="00967A1D"/>
    <w:rsid w:val="00967B2C"/>
    <w:rsid w:val="00967BCE"/>
    <w:rsid w:val="0097030F"/>
    <w:rsid w:val="009704B5"/>
    <w:rsid w:val="009707DF"/>
    <w:rsid w:val="00970BB2"/>
    <w:rsid w:val="00970CCB"/>
    <w:rsid w:val="00970D68"/>
    <w:rsid w:val="00971202"/>
    <w:rsid w:val="009714AB"/>
    <w:rsid w:val="0097163B"/>
    <w:rsid w:val="009717E4"/>
    <w:rsid w:val="00971924"/>
    <w:rsid w:val="00972290"/>
    <w:rsid w:val="0097256D"/>
    <w:rsid w:val="0097262B"/>
    <w:rsid w:val="00972B40"/>
    <w:rsid w:val="00972FCD"/>
    <w:rsid w:val="00973F8F"/>
    <w:rsid w:val="00974255"/>
    <w:rsid w:val="00974F7C"/>
    <w:rsid w:val="00975801"/>
    <w:rsid w:val="00975A09"/>
    <w:rsid w:val="00975D6E"/>
    <w:rsid w:val="009761E1"/>
    <w:rsid w:val="0097659A"/>
    <w:rsid w:val="0097664C"/>
    <w:rsid w:val="0097727E"/>
    <w:rsid w:val="009777FC"/>
    <w:rsid w:val="00977C11"/>
    <w:rsid w:val="00977D5A"/>
    <w:rsid w:val="00977FEF"/>
    <w:rsid w:val="00980057"/>
    <w:rsid w:val="0098094D"/>
    <w:rsid w:val="009811C1"/>
    <w:rsid w:val="0098120A"/>
    <w:rsid w:val="0098200C"/>
    <w:rsid w:val="0098206D"/>
    <w:rsid w:val="009821A1"/>
    <w:rsid w:val="00982297"/>
    <w:rsid w:val="0098319B"/>
    <w:rsid w:val="0098377F"/>
    <w:rsid w:val="00983890"/>
    <w:rsid w:val="009840FD"/>
    <w:rsid w:val="0098481F"/>
    <w:rsid w:val="0098561D"/>
    <w:rsid w:val="00985767"/>
    <w:rsid w:val="009860F8"/>
    <w:rsid w:val="009867E0"/>
    <w:rsid w:val="00986A9B"/>
    <w:rsid w:val="0098759D"/>
    <w:rsid w:val="009876C0"/>
    <w:rsid w:val="0098772E"/>
    <w:rsid w:val="00987877"/>
    <w:rsid w:val="00987F07"/>
    <w:rsid w:val="00990833"/>
    <w:rsid w:val="009909CB"/>
    <w:rsid w:val="00990B08"/>
    <w:rsid w:val="00990C36"/>
    <w:rsid w:val="00990C5C"/>
    <w:rsid w:val="00990E6B"/>
    <w:rsid w:val="00991A5E"/>
    <w:rsid w:val="00991BB5"/>
    <w:rsid w:val="00991DCF"/>
    <w:rsid w:val="00991FB4"/>
    <w:rsid w:val="009920F0"/>
    <w:rsid w:val="00992589"/>
    <w:rsid w:val="00993714"/>
    <w:rsid w:val="0099379A"/>
    <w:rsid w:val="0099418A"/>
    <w:rsid w:val="00994204"/>
    <w:rsid w:val="009943AE"/>
    <w:rsid w:val="00994FE3"/>
    <w:rsid w:val="00995A24"/>
    <w:rsid w:val="00995DB3"/>
    <w:rsid w:val="00996718"/>
    <w:rsid w:val="00996741"/>
    <w:rsid w:val="00996A26"/>
    <w:rsid w:val="00996AD3"/>
    <w:rsid w:val="00997884"/>
    <w:rsid w:val="00997C08"/>
    <w:rsid w:val="009A08F1"/>
    <w:rsid w:val="009A128E"/>
    <w:rsid w:val="009A1793"/>
    <w:rsid w:val="009A17F1"/>
    <w:rsid w:val="009A19BC"/>
    <w:rsid w:val="009A2526"/>
    <w:rsid w:val="009A2C67"/>
    <w:rsid w:val="009A3411"/>
    <w:rsid w:val="009A377D"/>
    <w:rsid w:val="009A3988"/>
    <w:rsid w:val="009A39F5"/>
    <w:rsid w:val="009A3E26"/>
    <w:rsid w:val="009A5A43"/>
    <w:rsid w:val="009A5FCC"/>
    <w:rsid w:val="009A6039"/>
    <w:rsid w:val="009A622E"/>
    <w:rsid w:val="009A62FD"/>
    <w:rsid w:val="009A63C2"/>
    <w:rsid w:val="009A6472"/>
    <w:rsid w:val="009A64C1"/>
    <w:rsid w:val="009A66F4"/>
    <w:rsid w:val="009A70FD"/>
    <w:rsid w:val="009A71B8"/>
    <w:rsid w:val="009A7209"/>
    <w:rsid w:val="009A7550"/>
    <w:rsid w:val="009A799B"/>
    <w:rsid w:val="009A7C16"/>
    <w:rsid w:val="009A7C8F"/>
    <w:rsid w:val="009A7FF9"/>
    <w:rsid w:val="009B00F1"/>
    <w:rsid w:val="009B052D"/>
    <w:rsid w:val="009B05C7"/>
    <w:rsid w:val="009B07C0"/>
    <w:rsid w:val="009B0F31"/>
    <w:rsid w:val="009B125E"/>
    <w:rsid w:val="009B1DB0"/>
    <w:rsid w:val="009B2814"/>
    <w:rsid w:val="009B2FE4"/>
    <w:rsid w:val="009B30E5"/>
    <w:rsid w:val="009B38AC"/>
    <w:rsid w:val="009B39C2"/>
    <w:rsid w:val="009B3C29"/>
    <w:rsid w:val="009B44E3"/>
    <w:rsid w:val="009B4776"/>
    <w:rsid w:val="009B48A4"/>
    <w:rsid w:val="009B4BEA"/>
    <w:rsid w:val="009B4FD1"/>
    <w:rsid w:val="009B5122"/>
    <w:rsid w:val="009B5A30"/>
    <w:rsid w:val="009B5AB5"/>
    <w:rsid w:val="009B5E07"/>
    <w:rsid w:val="009B672F"/>
    <w:rsid w:val="009B6EA5"/>
    <w:rsid w:val="009B6F54"/>
    <w:rsid w:val="009B736D"/>
    <w:rsid w:val="009B7381"/>
    <w:rsid w:val="009B754A"/>
    <w:rsid w:val="009C0A4E"/>
    <w:rsid w:val="009C0CBB"/>
    <w:rsid w:val="009C0F8A"/>
    <w:rsid w:val="009C1595"/>
    <w:rsid w:val="009C173A"/>
    <w:rsid w:val="009C1841"/>
    <w:rsid w:val="009C1951"/>
    <w:rsid w:val="009C1A54"/>
    <w:rsid w:val="009C2085"/>
    <w:rsid w:val="009C274E"/>
    <w:rsid w:val="009C27A5"/>
    <w:rsid w:val="009C2A7A"/>
    <w:rsid w:val="009C33F1"/>
    <w:rsid w:val="009C361E"/>
    <w:rsid w:val="009C3A97"/>
    <w:rsid w:val="009C3DC2"/>
    <w:rsid w:val="009C49F2"/>
    <w:rsid w:val="009C5906"/>
    <w:rsid w:val="009C590D"/>
    <w:rsid w:val="009C5A69"/>
    <w:rsid w:val="009C5EA3"/>
    <w:rsid w:val="009C6ABE"/>
    <w:rsid w:val="009C6BF8"/>
    <w:rsid w:val="009C712E"/>
    <w:rsid w:val="009C72CB"/>
    <w:rsid w:val="009C73C3"/>
    <w:rsid w:val="009C7444"/>
    <w:rsid w:val="009C7D0F"/>
    <w:rsid w:val="009D0756"/>
    <w:rsid w:val="009D0A62"/>
    <w:rsid w:val="009D0E23"/>
    <w:rsid w:val="009D10AA"/>
    <w:rsid w:val="009D1728"/>
    <w:rsid w:val="009D1932"/>
    <w:rsid w:val="009D208B"/>
    <w:rsid w:val="009D21EE"/>
    <w:rsid w:val="009D2EB9"/>
    <w:rsid w:val="009D3014"/>
    <w:rsid w:val="009D30C3"/>
    <w:rsid w:val="009D344C"/>
    <w:rsid w:val="009D3843"/>
    <w:rsid w:val="009D3A83"/>
    <w:rsid w:val="009D3CB8"/>
    <w:rsid w:val="009D3CFE"/>
    <w:rsid w:val="009D40D8"/>
    <w:rsid w:val="009D4224"/>
    <w:rsid w:val="009D43CE"/>
    <w:rsid w:val="009D48DA"/>
    <w:rsid w:val="009D4DCE"/>
    <w:rsid w:val="009D4EBB"/>
    <w:rsid w:val="009D587B"/>
    <w:rsid w:val="009D6145"/>
    <w:rsid w:val="009D6A58"/>
    <w:rsid w:val="009D7054"/>
    <w:rsid w:val="009D766B"/>
    <w:rsid w:val="009D7705"/>
    <w:rsid w:val="009D77D1"/>
    <w:rsid w:val="009D799F"/>
    <w:rsid w:val="009D7B2F"/>
    <w:rsid w:val="009E028E"/>
    <w:rsid w:val="009E05CC"/>
    <w:rsid w:val="009E0A0B"/>
    <w:rsid w:val="009E0B27"/>
    <w:rsid w:val="009E0B2D"/>
    <w:rsid w:val="009E0CF7"/>
    <w:rsid w:val="009E0D0E"/>
    <w:rsid w:val="009E0E0F"/>
    <w:rsid w:val="009E0F6C"/>
    <w:rsid w:val="009E1005"/>
    <w:rsid w:val="009E1074"/>
    <w:rsid w:val="009E1125"/>
    <w:rsid w:val="009E16D4"/>
    <w:rsid w:val="009E2717"/>
    <w:rsid w:val="009E2A04"/>
    <w:rsid w:val="009E34AE"/>
    <w:rsid w:val="009E47C8"/>
    <w:rsid w:val="009E4B66"/>
    <w:rsid w:val="009E4BEB"/>
    <w:rsid w:val="009E51F2"/>
    <w:rsid w:val="009E524B"/>
    <w:rsid w:val="009E5426"/>
    <w:rsid w:val="009E54E3"/>
    <w:rsid w:val="009E5CDA"/>
    <w:rsid w:val="009E5F8C"/>
    <w:rsid w:val="009E5FA2"/>
    <w:rsid w:val="009E6064"/>
    <w:rsid w:val="009E621E"/>
    <w:rsid w:val="009E660B"/>
    <w:rsid w:val="009E6A35"/>
    <w:rsid w:val="009E6A95"/>
    <w:rsid w:val="009E6F27"/>
    <w:rsid w:val="009E7150"/>
    <w:rsid w:val="009E7879"/>
    <w:rsid w:val="009E792D"/>
    <w:rsid w:val="009F0172"/>
    <w:rsid w:val="009F0289"/>
    <w:rsid w:val="009F0F22"/>
    <w:rsid w:val="009F1061"/>
    <w:rsid w:val="009F13E0"/>
    <w:rsid w:val="009F15DB"/>
    <w:rsid w:val="009F246B"/>
    <w:rsid w:val="009F262E"/>
    <w:rsid w:val="009F3311"/>
    <w:rsid w:val="009F35C1"/>
    <w:rsid w:val="009F3CF7"/>
    <w:rsid w:val="009F3ECA"/>
    <w:rsid w:val="009F45EC"/>
    <w:rsid w:val="009F47AE"/>
    <w:rsid w:val="009F48EE"/>
    <w:rsid w:val="009F4A5D"/>
    <w:rsid w:val="009F4AEF"/>
    <w:rsid w:val="009F4BD6"/>
    <w:rsid w:val="009F4DBB"/>
    <w:rsid w:val="009F54D6"/>
    <w:rsid w:val="009F581F"/>
    <w:rsid w:val="009F5D0A"/>
    <w:rsid w:val="009F6180"/>
    <w:rsid w:val="009F6192"/>
    <w:rsid w:val="009F68D0"/>
    <w:rsid w:val="009F6C66"/>
    <w:rsid w:val="009F6C86"/>
    <w:rsid w:val="009F6EB4"/>
    <w:rsid w:val="009F70C9"/>
    <w:rsid w:val="009F7360"/>
    <w:rsid w:val="009F763A"/>
    <w:rsid w:val="00A00402"/>
    <w:rsid w:val="00A00E0A"/>
    <w:rsid w:val="00A00E68"/>
    <w:rsid w:val="00A01495"/>
    <w:rsid w:val="00A01653"/>
    <w:rsid w:val="00A019EC"/>
    <w:rsid w:val="00A0274A"/>
    <w:rsid w:val="00A03BCB"/>
    <w:rsid w:val="00A03C98"/>
    <w:rsid w:val="00A04013"/>
    <w:rsid w:val="00A0449F"/>
    <w:rsid w:val="00A044B1"/>
    <w:rsid w:val="00A04754"/>
    <w:rsid w:val="00A0528D"/>
    <w:rsid w:val="00A05DC1"/>
    <w:rsid w:val="00A05FE6"/>
    <w:rsid w:val="00A060D4"/>
    <w:rsid w:val="00A06830"/>
    <w:rsid w:val="00A068EF"/>
    <w:rsid w:val="00A06B52"/>
    <w:rsid w:val="00A06C45"/>
    <w:rsid w:val="00A072EE"/>
    <w:rsid w:val="00A0766B"/>
    <w:rsid w:val="00A078C2"/>
    <w:rsid w:val="00A07B3C"/>
    <w:rsid w:val="00A10200"/>
    <w:rsid w:val="00A10490"/>
    <w:rsid w:val="00A10934"/>
    <w:rsid w:val="00A11360"/>
    <w:rsid w:val="00A118B6"/>
    <w:rsid w:val="00A1197C"/>
    <w:rsid w:val="00A11F91"/>
    <w:rsid w:val="00A12073"/>
    <w:rsid w:val="00A124F7"/>
    <w:rsid w:val="00A126BD"/>
    <w:rsid w:val="00A12910"/>
    <w:rsid w:val="00A13AB0"/>
    <w:rsid w:val="00A13BB1"/>
    <w:rsid w:val="00A13C58"/>
    <w:rsid w:val="00A14330"/>
    <w:rsid w:val="00A1484C"/>
    <w:rsid w:val="00A14EED"/>
    <w:rsid w:val="00A151F9"/>
    <w:rsid w:val="00A16604"/>
    <w:rsid w:val="00A1667F"/>
    <w:rsid w:val="00A16A55"/>
    <w:rsid w:val="00A16D15"/>
    <w:rsid w:val="00A16EBC"/>
    <w:rsid w:val="00A16EEF"/>
    <w:rsid w:val="00A16F5D"/>
    <w:rsid w:val="00A1707E"/>
    <w:rsid w:val="00A173CF"/>
    <w:rsid w:val="00A175B5"/>
    <w:rsid w:val="00A177DC"/>
    <w:rsid w:val="00A20BA4"/>
    <w:rsid w:val="00A20D26"/>
    <w:rsid w:val="00A214FA"/>
    <w:rsid w:val="00A2173D"/>
    <w:rsid w:val="00A222F9"/>
    <w:rsid w:val="00A2232B"/>
    <w:rsid w:val="00A2287D"/>
    <w:rsid w:val="00A22E25"/>
    <w:rsid w:val="00A2310A"/>
    <w:rsid w:val="00A23356"/>
    <w:rsid w:val="00A23674"/>
    <w:rsid w:val="00A23706"/>
    <w:rsid w:val="00A237FE"/>
    <w:rsid w:val="00A239B2"/>
    <w:rsid w:val="00A23DAE"/>
    <w:rsid w:val="00A248B8"/>
    <w:rsid w:val="00A24C1E"/>
    <w:rsid w:val="00A24EDD"/>
    <w:rsid w:val="00A25085"/>
    <w:rsid w:val="00A25352"/>
    <w:rsid w:val="00A25753"/>
    <w:rsid w:val="00A25824"/>
    <w:rsid w:val="00A25C40"/>
    <w:rsid w:val="00A25FB4"/>
    <w:rsid w:val="00A264E4"/>
    <w:rsid w:val="00A268EC"/>
    <w:rsid w:val="00A26BC4"/>
    <w:rsid w:val="00A27277"/>
    <w:rsid w:val="00A272A2"/>
    <w:rsid w:val="00A27ABB"/>
    <w:rsid w:val="00A27C4D"/>
    <w:rsid w:val="00A2F348"/>
    <w:rsid w:val="00A30132"/>
    <w:rsid w:val="00A304F4"/>
    <w:rsid w:val="00A30E14"/>
    <w:rsid w:val="00A31CA8"/>
    <w:rsid w:val="00A31CEC"/>
    <w:rsid w:val="00A31D10"/>
    <w:rsid w:val="00A325BD"/>
    <w:rsid w:val="00A32D3E"/>
    <w:rsid w:val="00A33418"/>
    <w:rsid w:val="00A34399"/>
    <w:rsid w:val="00A344CC"/>
    <w:rsid w:val="00A346A6"/>
    <w:rsid w:val="00A347AF"/>
    <w:rsid w:val="00A34887"/>
    <w:rsid w:val="00A34A6F"/>
    <w:rsid w:val="00A34D40"/>
    <w:rsid w:val="00A35792"/>
    <w:rsid w:val="00A35873"/>
    <w:rsid w:val="00A359F4"/>
    <w:rsid w:val="00A35D69"/>
    <w:rsid w:val="00A35FCE"/>
    <w:rsid w:val="00A3665B"/>
    <w:rsid w:val="00A369C3"/>
    <w:rsid w:val="00A36B8F"/>
    <w:rsid w:val="00A36ECA"/>
    <w:rsid w:val="00A370A7"/>
    <w:rsid w:val="00A3768B"/>
    <w:rsid w:val="00A37AA3"/>
    <w:rsid w:val="00A40C1A"/>
    <w:rsid w:val="00A40ED3"/>
    <w:rsid w:val="00A411A4"/>
    <w:rsid w:val="00A413E2"/>
    <w:rsid w:val="00A41419"/>
    <w:rsid w:val="00A41536"/>
    <w:rsid w:val="00A4157C"/>
    <w:rsid w:val="00A417B5"/>
    <w:rsid w:val="00A41AF7"/>
    <w:rsid w:val="00A42AD1"/>
    <w:rsid w:val="00A42F21"/>
    <w:rsid w:val="00A43099"/>
    <w:rsid w:val="00A439B2"/>
    <w:rsid w:val="00A43EA3"/>
    <w:rsid w:val="00A44154"/>
    <w:rsid w:val="00A44C9E"/>
    <w:rsid w:val="00A45492"/>
    <w:rsid w:val="00A457D3"/>
    <w:rsid w:val="00A45801"/>
    <w:rsid w:val="00A45B9C"/>
    <w:rsid w:val="00A45CBC"/>
    <w:rsid w:val="00A45CFE"/>
    <w:rsid w:val="00A46055"/>
    <w:rsid w:val="00A46131"/>
    <w:rsid w:val="00A46150"/>
    <w:rsid w:val="00A4625B"/>
    <w:rsid w:val="00A47301"/>
    <w:rsid w:val="00A47579"/>
    <w:rsid w:val="00A47DAB"/>
    <w:rsid w:val="00A47FE3"/>
    <w:rsid w:val="00A5008D"/>
    <w:rsid w:val="00A50B0F"/>
    <w:rsid w:val="00A50D28"/>
    <w:rsid w:val="00A51069"/>
    <w:rsid w:val="00A5134D"/>
    <w:rsid w:val="00A51485"/>
    <w:rsid w:val="00A516F4"/>
    <w:rsid w:val="00A51901"/>
    <w:rsid w:val="00A51B78"/>
    <w:rsid w:val="00A52E7B"/>
    <w:rsid w:val="00A52F13"/>
    <w:rsid w:val="00A5303A"/>
    <w:rsid w:val="00A53079"/>
    <w:rsid w:val="00A540E2"/>
    <w:rsid w:val="00A54286"/>
    <w:rsid w:val="00A5472D"/>
    <w:rsid w:val="00A54815"/>
    <w:rsid w:val="00A549C2"/>
    <w:rsid w:val="00A54A52"/>
    <w:rsid w:val="00A54AE8"/>
    <w:rsid w:val="00A54B4F"/>
    <w:rsid w:val="00A54E52"/>
    <w:rsid w:val="00A55026"/>
    <w:rsid w:val="00A55100"/>
    <w:rsid w:val="00A55104"/>
    <w:rsid w:val="00A55355"/>
    <w:rsid w:val="00A5537F"/>
    <w:rsid w:val="00A557CC"/>
    <w:rsid w:val="00A55AC1"/>
    <w:rsid w:val="00A55C2C"/>
    <w:rsid w:val="00A55FCC"/>
    <w:rsid w:val="00A5620B"/>
    <w:rsid w:val="00A56AE0"/>
    <w:rsid w:val="00A56CDC"/>
    <w:rsid w:val="00A56D2E"/>
    <w:rsid w:val="00A56E38"/>
    <w:rsid w:val="00A57155"/>
    <w:rsid w:val="00A57298"/>
    <w:rsid w:val="00A572CA"/>
    <w:rsid w:val="00A579B9"/>
    <w:rsid w:val="00A604B3"/>
    <w:rsid w:val="00A605A5"/>
    <w:rsid w:val="00A618B5"/>
    <w:rsid w:val="00A61B07"/>
    <w:rsid w:val="00A61B51"/>
    <w:rsid w:val="00A61F4A"/>
    <w:rsid w:val="00A62350"/>
    <w:rsid w:val="00A624FC"/>
    <w:rsid w:val="00A62717"/>
    <w:rsid w:val="00A628D3"/>
    <w:rsid w:val="00A62926"/>
    <w:rsid w:val="00A62E0D"/>
    <w:rsid w:val="00A63273"/>
    <w:rsid w:val="00A63702"/>
    <w:rsid w:val="00A637BE"/>
    <w:rsid w:val="00A63AC2"/>
    <w:rsid w:val="00A63AC6"/>
    <w:rsid w:val="00A63DA7"/>
    <w:rsid w:val="00A63E3F"/>
    <w:rsid w:val="00A63EF4"/>
    <w:rsid w:val="00A64108"/>
    <w:rsid w:val="00A641D0"/>
    <w:rsid w:val="00A64446"/>
    <w:rsid w:val="00A646F5"/>
    <w:rsid w:val="00A64817"/>
    <w:rsid w:val="00A64E24"/>
    <w:rsid w:val="00A65451"/>
    <w:rsid w:val="00A6577A"/>
    <w:rsid w:val="00A65BBA"/>
    <w:rsid w:val="00A662E1"/>
    <w:rsid w:val="00A66754"/>
    <w:rsid w:val="00A66792"/>
    <w:rsid w:val="00A66D45"/>
    <w:rsid w:val="00A671B5"/>
    <w:rsid w:val="00A6721D"/>
    <w:rsid w:val="00A67464"/>
    <w:rsid w:val="00A67F2D"/>
    <w:rsid w:val="00A7056E"/>
    <w:rsid w:val="00A70CB8"/>
    <w:rsid w:val="00A70F2F"/>
    <w:rsid w:val="00A7147C"/>
    <w:rsid w:val="00A716B1"/>
    <w:rsid w:val="00A725FE"/>
    <w:rsid w:val="00A7279E"/>
    <w:rsid w:val="00A727A7"/>
    <w:rsid w:val="00A728B4"/>
    <w:rsid w:val="00A730DC"/>
    <w:rsid w:val="00A73174"/>
    <w:rsid w:val="00A73203"/>
    <w:rsid w:val="00A7340C"/>
    <w:rsid w:val="00A73440"/>
    <w:rsid w:val="00A7356E"/>
    <w:rsid w:val="00A737D6"/>
    <w:rsid w:val="00A73C3C"/>
    <w:rsid w:val="00A740CD"/>
    <w:rsid w:val="00A743A7"/>
    <w:rsid w:val="00A74759"/>
    <w:rsid w:val="00A7494B"/>
    <w:rsid w:val="00A74D92"/>
    <w:rsid w:val="00A7546B"/>
    <w:rsid w:val="00A7557F"/>
    <w:rsid w:val="00A7566B"/>
    <w:rsid w:val="00A757E4"/>
    <w:rsid w:val="00A75971"/>
    <w:rsid w:val="00A75B64"/>
    <w:rsid w:val="00A75EE5"/>
    <w:rsid w:val="00A76091"/>
    <w:rsid w:val="00A7631D"/>
    <w:rsid w:val="00A770F3"/>
    <w:rsid w:val="00A77376"/>
    <w:rsid w:val="00A77789"/>
    <w:rsid w:val="00A778E3"/>
    <w:rsid w:val="00A80008"/>
    <w:rsid w:val="00A800D0"/>
    <w:rsid w:val="00A801B2"/>
    <w:rsid w:val="00A803B3"/>
    <w:rsid w:val="00A8077A"/>
    <w:rsid w:val="00A80A39"/>
    <w:rsid w:val="00A80B09"/>
    <w:rsid w:val="00A81070"/>
    <w:rsid w:val="00A810E0"/>
    <w:rsid w:val="00A81990"/>
    <w:rsid w:val="00A81AA0"/>
    <w:rsid w:val="00A82188"/>
    <w:rsid w:val="00A826BF"/>
    <w:rsid w:val="00A82E9E"/>
    <w:rsid w:val="00A830AF"/>
    <w:rsid w:val="00A836EB"/>
    <w:rsid w:val="00A8387E"/>
    <w:rsid w:val="00A83A63"/>
    <w:rsid w:val="00A83AF7"/>
    <w:rsid w:val="00A841B5"/>
    <w:rsid w:val="00A84206"/>
    <w:rsid w:val="00A84B46"/>
    <w:rsid w:val="00A84D00"/>
    <w:rsid w:val="00A84E17"/>
    <w:rsid w:val="00A8537A"/>
    <w:rsid w:val="00A85AAA"/>
    <w:rsid w:val="00A85D68"/>
    <w:rsid w:val="00A877AF"/>
    <w:rsid w:val="00A87BE6"/>
    <w:rsid w:val="00A87C1C"/>
    <w:rsid w:val="00A87C6B"/>
    <w:rsid w:val="00A87CE1"/>
    <w:rsid w:val="00A90320"/>
    <w:rsid w:val="00A903FE"/>
    <w:rsid w:val="00A907FA"/>
    <w:rsid w:val="00A909FC"/>
    <w:rsid w:val="00A90F8A"/>
    <w:rsid w:val="00A91690"/>
    <w:rsid w:val="00A91F96"/>
    <w:rsid w:val="00A922A2"/>
    <w:rsid w:val="00A9342D"/>
    <w:rsid w:val="00A93F69"/>
    <w:rsid w:val="00A94C35"/>
    <w:rsid w:val="00A95076"/>
    <w:rsid w:val="00A958A4"/>
    <w:rsid w:val="00A95960"/>
    <w:rsid w:val="00A95D41"/>
    <w:rsid w:val="00A96346"/>
    <w:rsid w:val="00A964FB"/>
    <w:rsid w:val="00A966BC"/>
    <w:rsid w:val="00A96731"/>
    <w:rsid w:val="00A96840"/>
    <w:rsid w:val="00A97198"/>
    <w:rsid w:val="00A97262"/>
    <w:rsid w:val="00A97749"/>
    <w:rsid w:val="00A97A54"/>
    <w:rsid w:val="00A97A74"/>
    <w:rsid w:val="00AA00BD"/>
    <w:rsid w:val="00AA0201"/>
    <w:rsid w:val="00AA02AA"/>
    <w:rsid w:val="00AA03D5"/>
    <w:rsid w:val="00AA03E8"/>
    <w:rsid w:val="00AA099E"/>
    <w:rsid w:val="00AA09F0"/>
    <w:rsid w:val="00AA0D81"/>
    <w:rsid w:val="00AA103B"/>
    <w:rsid w:val="00AA16B9"/>
    <w:rsid w:val="00AA1AA4"/>
    <w:rsid w:val="00AA24A5"/>
    <w:rsid w:val="00AA255B"/>
    <w:rsid w:val="00AA2720"/>
    <w:rsid w:val="00AA2B3D"/>
    <w:rsid w:val="00AA3129"/>
    <w:rsid w:val="00AA41DF"/>
    <w:rsid w:val="00AA45A6"/>
    <w:rsid w:val="00AA45BE"/>
    <w:rsid w:val="00AA534D"/>
    <w:rsid w:val="00AA55D5"/>
    <w:rsid w:val="00AA567C"/>
    <w:rsid w:val="00AA60C1"/>
    <w:rsid w:val="00AA6731"/>
    <w:rsid w:val="00AA6F0C"/>
    <w:rsid w:val="00AA7176"/>
    <w:rsid w:val="00AA755B"/>
    <w:rsid w:val="00AA7631"/>
    <w:rsid w:val="00AA76BC"/>
    <w:rsid w:val="00AA7847"/>
    <w:rsid w:val="00AA78FE"/>
    <w:rsid w:val="00AB00D2"/>
    <w:rsid w:val="00AB09D6"/>
    <w:rsid w:val="00AB153C"/>
    <w:rsid w:val="00AB1E5E"/>
    <w:rsid w:val="00AB1ED3"/>
    <w:rsid w:val="00AB295C"/>
    <w:rsid w:val="00AB2D6B"/>
    <w:rsid w:val="00AB2E42"/>
    <w:rsid w:val="00AB33B7"/>
    <w:rsid w:val="00AB3AD8"/>
    <w:rsid w:val="00AB3B1C"/>
    <w:rsid w:val="00AB4237"/>
    <w:rsid w:val="00AB4A83"/>
    <w:rsid w:val="00AB4B66"/>
    <w:rsid w:val="00AB4BD6"/>
    <w:rsid w:val="00AB625F"/>
    <w:rsid w:val="00AB665C"/>
    <w:rsid w:val="00AB6A9D"/>
    <w:rsid w:val="00AB705A"/>
    <w:rsid w:val="00AB73EA"/>
    <w:rsid w:val="00AB74A8"/>
    <w:rsid w:val="00AB7A5C"/>
    <w:rsid w:val="00AB7AC0"/>
    <w:rsid w:val="00AB7D84"/>
    <w:rsid w:val="00AC0775"/>
    <w:rsid w:val="00AC089B"/>
    <w:rsid w:val="00AC0AA6"/>
    <w:rsid w:val="00AC1490"/>
    <w:rsid w:val="00AC1969"/>
    <w:rsid w:val="00AC1B06"/>
    <w:rsid w:val="00AC1C1C"/>
    <w:rsid w:val="00AC1FC4"/>
    <w:rsid w:val="00AC201E"/>
    <w:rsid w:val="00AC2AF8"/>
    <w:rsid w:val="00AC2B90"/>
    <w:rsid w:val="00AC2C08"/>
    <w:rsid w:val="00AC2E1A"/>
    <w:rsid w:val="00AC31A6"/>
    <w:rsid w:val="00AC3A7C"/>
    <w:rsid w:val="00AC4C31"/>
    <w:rsid w:val="00AC4F47"/>
    <w:rsid w:val="00AC51D4"/>
    <w:rsid w:val="00AC5432"/>
    <w:rsid w:val="00AC5438"/>
    <w:rsid w:val="00AC55A2"/>
    <w:rsid w:val="00AC5741"/>
    <w:rsid w:val="00AC57D0"/>
    <w:rsid w:val="00AC5D15"/>
    <w:rsid w:val="00AC5D66"/>
    <w:rsid w:val="00AC5D6F"/>
    <w:rsid w:val="00AC63FD"/>
    <w:rsid w:val="00AC6C8F"/>
    <w:rsid w:val="00AC6EB0"/>
    <w:rsid w:val="00AC73E7"/>
    <w:rsid w:val="00AC771A"/>
    <w:rsid w:val="00AC775D"/>
    <w:rsid w:val="00AC7B26"/>
    <w:rsid w:val="00AC7D23"/>
    <w:rsid w:val="00AC7EB4"/>
    <w:rsid w:val="00AD0172"/>
    <w:rsid w:val="00AD0507"/>
    <w:rsid w:val="00AD0A60"/>
    <w:rsid w:val="00AD0F48"/>
    <w:rsid w:val="00AD1751"/>
    <w:rsid w:val="00AD17EB"/>
    <w:rsid w:val="00AD1958"/>
    <w:rsid w:val="00AD1B76"/>
    <w:rsid w:val="00AD2215"/>
    <w:rsid w:val="00AD22FF"/>
    <w:rsid w:val="00AD2F40"/>
    <w:rsid w:val="00AD2FE6"/>
    <w:rsid w:val="00AD305B"/>
    <w:rsid w:val="00AD3273"/>
    <w:rsid w:val="00AD33EE"/>
    <w:rsid w:val="00AD415E"/>
    <w:rsid w:val="00AD4454"/>
    <w:rsid w:val="00AD4E63"/>
    <w:rsid w:val="00AD4EEE"/>
    <w:rsid w:val="00AD5349"/>
    <w:rsid w:val="00AD55CE"/>
    <w:rsid w:val="00AD5712"/>
    <w:rsid w:val="00AD5AB0"/>
    <w:rsid w:val="00AD5ACD"/>
    <w:rsid w:val="00AD60C4"/>
    <w:rsid w:val="00AD61AE"/>
    <w:rsid w:val="00AD68B7"/>
    <w:rsid w:val="00AD6F59"/>
    <w:rsid w:val="00AD7213"/>
    <w:rsid w:val="00AD72AE"/>
    <w:rsid w:val="00AD7345"/>
    <w:rsid w:val="00AD7886"/>
    <w:rsid w:val="00AD7C45"/>
    <w:rsid w:val="00AE036F"/>
    <w:rsid w:val="00AE0882"/>
    <w:rsid w:val="00AE0B96"/>
    <w:rsid w:val="00AE183F"/>
    <w:rsid w:val="00AE1DD4"/>
    <w:rsid w:val="00AE242A"/>
    <w:rsid w:val="00AE2642"/>
    <w:rsid w:val="00AE29EF"/>
    <w:rsid w:val="00AE29F9"/>
    <w:rsid w:val="00AE32D6"/>
    <w:rsid w:val="00AE35FE"/>
    <w:rsid w:val="00AE39D6"/>
    <w:rsid w:val="00AE3B43"/>
    <w:rsid w:val="00AE3D68"/>
    <w:rsid w:val="00AE3D9F"/>
    <w:rsid w:val="00AE419C"/>
    <w:rsid w:val="00AE42BB"/>
    <w:rsid w:val="00AE47FA"/>
    <w:rsid w:val="00AE524B"/>
    <w:rsid w:val="00AE6234"/>
    <w:rsid w:val="00AE64D0"/>
    <w:rsid w:val="00AE6644"/>
    <w:rsid w:val="00AE676B"/>
    <w:rsid w:val="00AE6963"/>
    <w:rsid w:val="00AE6DEC"/>
    <w:rsid w:val="00AE73EC"/>
    <w:rsid w:val="00AE77E6"/>
    <w:rsid w:val="00AF0268"/>
    <w:rsid w:val="00AF0590"/>
    <w:rsid w:val="00AF0A0A"/>
    <w:rsid w:val="00AF0A9E"/>
    <w:rsid w:val="00AF0B1F"/>
    <w:rsid w:val="00AF0D4F"/>
    <w:rsid w:val="00AF1396"/>
    <w:rsid w:val="00AF24FB"/>
    <w:rsid w:val="00AF280B"/>
    <w:rsid w:val="00AF2D31"/>
    <w:rsid w:val="00AF2EBC"/>
    <w:rsid w:val="00AF2ED4"/>
    <w:rsid w:val="00AF4111"/>
    <w:rsid w:val="00AF46C0"/>
    <w:rsid w:val="00AF4BD2"/>
    <w:rsid w:val="00AF4DB1"/>
    <w:rsid w:val="00AF536D"/>
    <w:rsid w:val="00AF54E0"/>
    <w:rsid w:val="00AF59CC"/>
    <w:rsid w:val="00AF5DE9"/>
    <w:rsid w:val="00AF645E"/>
    <w:rsid w:val="00AF660C"/>
    <w:rsid w:val="00AF6C89"/>
    <w:rsid w:val="00AF6D25"/>
    <w:rsid w:val="00AF6F93"/>
    <w:rsid w:val="00AF7195"/>
    <w:rsid w:val="00AF76BE"/>
    <w:rsid w:val="00AF775B"/>
    <w:rsid w:val="00AF77E3"/>
    <w:rsid w:val="00AF7813"/>
    <w:rsid w:val="00AF7E52"/>
    <w:rsid w:val="00AF7FA4"/>
    <w:rsid w:val="00B0057F"/>
    <w:rsid w:val="00B0063A"/>
    <w:rsid w:val="00B00752"/>
    <w:rsid w:val="00B00B9B"/>
    <w:rsid w:val="00B0173A"/>
    <w:rsid w:val="00B01949"/>
    <w:rsid w:val="00B0194C"/>
    <w:rsid w:val="00B0195E"/>
    <w:rsid w:val="00B01BE3"/>
    <w:rsid w:val="00B01CA6"/>
    <w:rsid w:val="00B020DF"/>
    <w:rsid w:val="00B021DC"/>
    <w:rsid w:val="00B023AB"/>
    <w:rsid w:val="00B02471"/>
    <w:rsid w:val="00B025A5"/>
    <w:rsid w:val="00B0262E"/>
    <w:rsid w:val="00B028ED"/>
    <w:rsid w:val="00B028F4"/>
    <w:rsid w:val="00B02962"/>
    <w:rsid w:val="00B02E1E"/>
    <w:rsid w:val="00B03B65"/>
    <w:rsid w:val="00B03B91"/>
    <w:rsid w:val="00B03FFE"/>
    <w:rsid w:val="00B046C0"/>
    <w:rsid w:val="00B047F1"/>
    <w:rsid w:val="00B04ED4"/>
    <w:rsid w:val="00B052F7"/>
    <w:rsid w:val="00B05560"/>
    <w:rsid w:val="00B05787"/>
    <w:rsid w:val="00B058DB"/>
    <w:rsid w:val="00B058E8"/>
    <w:rsid w:val="00B05D43"/>
    <w:rsid w:val="00B05F4C"/>
    <w:rsid w:val="00B05FB7"/>
    <w:rsid w:val="00B07083"/>
    <w:rsid w:val="00B0741E"/>
    <w:rsid w:val="00B07793"/>
    <w:rsid w:val="00B10322"/>
    <w:rsid w:val="00B103FB"/>
    <w:rsid w:val="00B10AA4"/>
    <w:rsid w:val="00B10AAA"/>
    <w:rsid w:val="00B10B56"/>
    <w:rsid w:val="00B115F4"/>
    <w:rsid w:val="00B11BCC"/>
    <w:rsid w:val="00B11F62"/>
    <w:rsid w:val="00B125F7"/>
    <w:rsid w:val="00B12AE2"/>
    <w:rsid w:val="00B12FAD"/>
    <w:rsid w:val="00B12FB1"/>
    <w:rsid w:val="00B143AE"/>
    <w:rsid w:val="00B15474"/>
    <w:rsid w:val="00B15679"/>
    <w:rsid w:val="00B156D3"/>
    <w:rsid w:val="00B1584C"/>
    <w:rsid w:val="00B159F0"/>
    <w:rsid w:val="00B1629B"/>
    <w:rsid w:val="00B164FD"/>
    <w:rsid w:val="00B16847"/>
    <w:rsid w:val="00B16BAB"/>
    <w:rsid w:val="00B16C92"/>
    <w:rsid w:val="00B17081"/>
    <w:rsid w:val="00B171EC"/>
    <w:rsid w:val="00B176DD"/>
    <w:rsid w:val="00B179DE"/>
    <w:rsid w:val="00B17A06"/>
    <w:rsid w:val="00B17AF9"/>
    <w:rsid w:val="00B17E30"/>
    <w:rsid w:val="00B205F8"/>
    <w:rsid w:val="00B20B36"/>
    <w:rsid w:val="00B20BF6"/>
    <w:rsid w:val="00B21002"/>
    <w:rsid w:val="00B216AD"/>
    <w:rsid w:val="00B21969"/>
    <w:rsid w:val="00B22007"/>
    <w:rsid w:val="00B22036"/>
    <w:rsid w:val="00B2265E"/>
    <w:rsid w:val="00B22A17"/>
    <w:rsid w:val="00B22D31"/>
    <w:rsid w:val="00B23188"/>
    <w:rsid w:val="00B2353F"/>
    <w:rsid w:val="00B236F4"/>
    <w:rsid w:val="00B241ED"/>
    <w:rsid w:val="00B24403"/>
    <w:rsid w:val="00B244BF"/>
    <w:rsid w:val="00B2457C"/>
    <w:rsid w:val="00B2460A"/>
    <w:rsid w:val="00B24C9E"/>
    <w:rsid w:val="00B25250"/>
    <w:rsid w:val="00B2576A"/>
    <w:rsid w:val="00B257A0"/>
    <w:rsid w:val="00B257BF"/>
    <w:rsid w:val="00B2583F"/>
    <w:rsid w:val="00B25F8F"/>
    <w:rsid w:val="00B25FB5"/>
    <w:rsid w:val="00B263A0"/>
    <w:rsid w:val="00B26B11"/>
    <w:rsid w:val="00B26E05"/>
    <w:rsid w:val="00B26F71"/>
    <w:rsid w:val="00B27265"/>
    <w:rsid w:val="00B273BF"/>
    <w:rsid w:val="00B273F7"/>
    <w:rsid w:val="00B2744F"/>
    <w:rsid w:val="00B27B01"/>
    <w:rsid w:val="00B27C34"/>
    <w:rsid w:val="00B27E90"/>
    <w:rsid w:val="00B30574"/>
    <w:rsid w:val="00B305C5"/>
    <w:rsid w:val="00B3121B"/>
    <w:rsid w:val="00B312A8"/>
    <w:rsid w:val="00B3150B"/>
    <w:rsid w:val="00B32209"/>
    <w:rsid w:val="00B3234A"/>
    <w:rsid w:val="00B32586"/>
    <w:rsid w:val="00B3258C"/>
    <w:rsid w:val="00B326E1"/>
    <w:rsid w:val="00B32CBC"/>
    <w:rsid w:val="00B32CCB"/>
    <w:rsid w:val="00B32FE4"/>
    <w:rsid w:val="00B34102"/>
    <w:rsid w:val="00B3412E"/>
    <w:rsid w:val="00B3463D"/>
    <w:rsid w:val="00B347AB"/>
    <w:rsid w:val="00B34A5F"/>
    <w:rsid w:val="00B34B66"/>
    <w:rsid w:val="00B34C54"/>
    <w:rsid w:val="00B34C55"/>
    <w:rsid w:val="00B34F2F"/>
    <w:rsid w:val="00B34FF8"/>
    <w:rsid w:val="00B3533C"/>
    <w:rsid w:val="00B353A6"/>
    <w:rsid w:val="00B354C5"/>
    <w:rsid w:val="00B3553D"/>
    <w:rsid w:val="00B3565F"/>
    <w:rsid w:val="00B35802"/>
    <w:rsid w:val="00B35B98"/>
    <w:rsid w:val="00B35C03"/>
    <w:rsid w:val="00B35D44"/>
    <w:rsid w:val="00B36046"/>
    <w:rsid w:val="00B362B7"/>
    <w:rsid w:val="00B37820"/>
    <w:rsid w:val="00B37C0E"/>
    <w:rsid w:val="00B37CA7"/>
    <w:rsid w:val="00B402B8"/>
    <w:rsid w:val="00B40884"/>
    <w:rsid w:val="00B40CD3"/>
    <w:rsid w:val="00B41EC6"/>
    <w:rsid w:val="00B42284"/>
    <w:rsid w:val="00B42353"/>
    <w:rsid w:val="00B42962"/>
    <w:rsid w:val="00B42F98"/>
    <w:rsid w:val="00B43596"/>
    <w:rsid w:val="00B43862"/>
    <w:rsid w:val="00B43FDA"/>
    <w:rsid w:val="00B4441B"/>
    <w:rsid w:val="00B445D0"/>
    <w:rsid w:val="00B448E2"/>
    <w:rsid w:val="00B45A91"/>
    <w:rsid w:val="00B46068"/>
    <w:rsid w:val="00B46079"/>
    <w:rsid w:val="00B46127"/>
    <w:rsid w:val="00B4638E"/>
    <w:rsid w:val="00B46390"/>
    <w:rsid w:val="00B4639E"/>
    <w:rsid w:val="00B4645C"/>
    <w:rsid w:val="00B46AF2"/>
    <w:rsid w:val="00B502B2"/>
    <w:rsid w:val="00B50646"/>
    <w:rsid w:val="00B5066E"/>
    <w:rsid w:val="00B51006"/>
    <w:rsid w:val="00B51435"/>
    <w:rsid w:val="00B51C15"/>
    <w:rsid w:val="00B51CAC"/>
    <w:rsid w:val="00B522D9"/>
    <w:rsid w:val="00B52306"/>
    <w:rsid w:val="00B52313"/>
    <w:rsid w:val="00B524DC"/>
    <w:rsid w:val="00B52760"/>
    <w:rsid w:val="00B527B3"/>
    <w:rsid w:val="00B52B6D"/>
    <w:rsid w:val="00B52FD1"/>
    <w:rsid w:val="00B533C2"/>
    <w:rsid w:val="00B53660"/>
    <w:rsid w:val="00B53828"/>
    <w:rsid w:val="00B53907"/>
    <w:rsid w:val="00B539EF"/>
    <w:rsid w:val="00B53C4B"/>
    <w:rsid w:val="00B54721"/>
    <w:rsid w:val="00B54832"/>
    <w:rsid w:val="00B54B0A"/>
    <w:rsid w:val="00B54F4C"/>
    <w:rsid w:val="00B55372"/>
    <w:rsid w:val="00B5547F"/>
    <w:rsid w:val="00B555B5"/>
    <w:rsid w:val="00B559E0"/>
    <w:rsid w:val="00B55FC2"/>
    <w:rsid w:val="00B56241"/>
    <w:rsid w:val="00B565D7"/>
    <w:rsid w:val="00B57035"/>
    <w:rsid w:val="00B57632"/>
    <w:rsid w:val="00B5774F"/>
    <w:rsid w:val="00B57BE4"/>
    <w:rsid w:val="00B57D70"/>
    <w:rsid w:val="00B57D9A"/>
    <w:rsid w:val="00B57DBE"/>
    <w:rsid w:val="00B600EE"/>
    <w:rsid w:val="00B6011E"/>
    <w:rsid w:val="00B6038E"/>
    <w:rsid w:val="00B608FA"/>
    <w:rsid w:val="00B6092D"/>
    <w:rsid w:val="00B60C96"/>
    <w:rsid w:val="00B60F60"/>
    <w:rsid w:val="00B612DC"/>
    <w:rsid w:val="00B61A40"/>
    <w:rsid w:val="00B61D9B"/>
    <w:rsid w:val="00B61EB9"/>
    <w:rsid w:val="00B61FFF"/>
    <w:rsid w:val="00B62B99"/>
    <w:rsid w:val="00B62CC5"/>
    <w:rsid w:val="00B62FD5"/>
    <w:rsid w:val="00B63408"/>
    <w:rsid w:val="00B63779"/>
    <w:rsid w:val="00B63845"/>
    <w:rsid w:val="00B63896"/>
    <w:rsid w:val="00B63A19"/>
    <w:rsid w:val="00B63C35"/>
    <w:rsid w:val="00B63D87"/>
    <w:rsid w:val="00B6410E"/>
    <w:rsid w:val="00B64299"/>
    <w:rsid w:val="00B648EA"/>
    <w:rsid w:val="00B64AAB"/>
    <w:rsid w:val="00B64BB0"/>
    <w:rsid w:val="00B64FE8"/>
    <w:rsid w:val="00B650F8"/>
    <w:rsid w:val="00B65758"/>
    <w:rsid w:val="00B65A28"/>
    <w:rsid w:val="00B65E10"/>
    <w:rsid w:val="00B66433"/>
    <w:rsid w:val="00B66941"/>
    <w:rsid w:val="00B66F8B"/>
    <w:rsid w:val="00B6770B"/>
    <w:rsid w:val="00B67953"/>
    <w:rsid w:val="00B70188"/>
    <w:rsid w:val="00B7068E"/>
    <w:rsid w:val="00B710E9"/>
    <w:rsid w:val="00B711FC"/>
    <w:rsid w:val="00B714BA"/>
    <w:rsid w:val="00B7169B"/>
    <w:rsid w:val="00B71C32"/>
    <w:rsid w:val="00B71EC7"/>
    <w:rsid w:val="00B71FBB"/>
    <w:rsid w:val="00B7231D"/>
    <w:rsid w:val="00B723B1"/>
    <w:rsid w:val="00B7246B"/>
    <w:rsid w:val="00B72517"/>
    <w:rsid w:val="00B72A15"/>
    <w:rsid w:val="00B72F57"/>
    <w:rsid w:val="00B731CE"/>
    <w:rsid w:val="00B73220"/>
    <w:rsid w:val="00B736A9"/>
    <w:rsid w:val="00B73802"/>
    <w:rsid w:val="00B73B86"/>
    <w:rsid w:val="00B73D6B"/>
    <w:rsid w:val="00B73D8E"/>
    <w:rsid w:val="00B73E42"/>
    <w:rsid w:val="00B73F5F"/>
    <w:rsid w:val="00B7403C"/>
    <w:rsid w:val="00B74389"/>
    <w:rsid w:val="00B74D89"/>
    <w:rsid w:val="00B752A4"/>
    <w:rsid w:val="00B758BC"/>
    <w:rsid w:val="00B75DC7"/>
    <w:rsid w:val="00B75FD6"/>
    <w:rsid w:val="00B760E9"/>
    <w:rsid w:val="00B76812"/>
    <w:rsid w:val="00B76A19"/>
    <w:rsid w:val="00B76C1F"/>
    <w:rsid w:val="00B77442"/>
    <w:rsid w:val="00B77465"/>
    <w:rsid w:val="00B774DA"/>
    <w:rsid w:val="00B80053"/>
    <w:rsid w:val="00B807C0"/>
    <w:rsid w:val="00B80DD1"/>
    <w:rsid w:val="00B80F4D"/>
    <w:rsid w:val="00B80FFA"/>
    <w:rsid w:val="00B811B6"/>
    <w:rsid w:val="00B81869"/>
    <w:rsid w:val="00B818CD"/>
    <w:rsid w:val="00B81B3E"/>
    <w:rsid w:val="00B81D59"/>
    <w:rsid w:val="00B82017"/>
    <w:rsid w:val="00B823EB"/>
    <w:rsid w:val="00B824DB"/>
    <w:rsid w:val="00B824FB"/>
    <w:rsid w:val="00B82A8C"/>
    <w:rsid w:val="00B82B1D"/>
    <w:rsid w:val="00B8375B"/>
    <w:rsid w:val="00B839B7"/>
    <w:rsid w:val="00B84814"/>
    <w:rsid w:val="00B849A8"/>
    <w:rsid w:val="00B854AD"/>
    <w:rsid w:val="00B85807"/>
    <w:rsid w:val="00B85EA2"/>
    <w:rsid w:val="00B86090"/>
    <w:rsid w:val="00B8625B"/>
    <w:rsid w:val="00B86F1D"/>
    <w:rsid w:val="00B874B9"/>
    <w:rsid w:val="00B90319"/>
    <w:rsid w:val="00B9058D"/>
    <w:rsid w:val="00B90B55"/>
    <w:rsid w:val="00B915F8"/>
    <w:rsid w:val="00B91674"/>
    <w:rsid w:val="00B924D9"/>
    <w:rsid w:val="00B92670"/>
    <w:rsid w:val="00B933EA"/>
    <w:rsid w:val="00B935A3"/>
    <w:rsid w:val="00B936C4"/>
    <w:rsid w:val="00B9424A"/>
    <w:rsid w:val="00B94371"/>
    <w:rsid w:val="00B943F5"/>
    <w:rsid w:val="00B946A1"/>
    <w:rsid w:val="00B94A22"/>
    <w:rsid w:val="00B94C84"/>
    <w:rsid w:val="00B94D5C"/>
    <w:rsid w:val="00B94D72"/>
    <w:rsid w:val="00B94E26"/>
    <w:rsid w:val="00B94E60"/>
    <w:rsid w:val="00B9505A"/>
    <w:rsid w:val="00B9506E"/>
    <w:rsid w:val="00B95363"/>
    <w:rsid w:val="00B96337"/>
    <w:rsid w:val="00B96562"/>
    <w:rsid w:val="00B969EF"/>
    <w:rsid w:val="00B96C71"/>
    <w:rsid w:val="00B96C95"/>
    <w:rsid w:val="00B96F42"/>
    <w:rsid w:val="00B97154"/>
    <w:rsid w:val="00B975BB"/>
    <w:rsid w:val="00B97697"/>
    <w:rsid w:val="00B97B1D"/>
    <w:rsid w:val="00B97F28"/>
    <w:rsid w:val="00B97F3B"/>
    <w:rsid w:val="00BA0198"/>
    <w:rsid w:val="00BA0511"/>
    <w:rsid w:val="00BA0684"/>
    <w:rsid w:val="00BA0C2F"/>
    <w:rsid w:val="00BA0EA1"/>
    <w:rsid w:val="00BA1005"/>
    <w:rsid w:val="00BA1037"/>
    <w:rsid w:val="00BA1472"/>
    <w:rsid w:val="00BA16F6"/>
    <w:rsid w:val="00BA1A68"/>
    <w:rsid w:val="00BA1CFD"/>
    <w:rsid w:val="00BA265C"/>
    <w:rsid w:val="00BA2961"/>
    <w:rsid w:val="00BA2C87"/>
    <w:rsid w:val="00BA2F91"/>
    <w:rsid w:val="00BA30B2"/>
    <w:rsid w:val="00BA320A"/>
    <w:rsid w:val="00BA3226"/>
    <w:rsid w:val="00BA361E"/>
    <w:rsid w:val="00BA3E49"/>
    <w:rsid w:val="00BA3EFE"/>
    <w:rsid w:val="00BA43CE"/>
    <w:rsid w:val="00BA487F"/>
    <w:rsid w:val="00BA4DD6"/>
    <w:rsid w:val="00BA5343"/>
    <w:rsid w:val="00BA57F9"/>
    <w:rsid w:val="00BA584F"/>
    <w:rsid w:val="00BA62E7"/>
    <w:rsid w:val="00BA63A0"/>
    <w:rsid w:val="00BA6AF3"/>
    <w:rsid w:val="00BA6B1D"/>
    <w:rsid w:val="00BA6D7A"/>
    <w:rsid w:val="00BA6F24"/>
    <w:rsid w:val="00BA6FF5"/>
    <w:rsid w:val="00BA70E4"/>
    <w:rsid w:val="00BA7D84"/>
    <w:rsid w:val="00BA7E5C"/>
    <w:rsid w:val="00BB009D"/>
    <w:rsid w:val="00BB1403"/>
    <w:rsid w:val="00BB206E"/>
    <w:rsid w:val="00BB2364"/>
    <w:rsid w:val="00BB2A5A"/>
    <w:rsid w:val="00BB2D85"/>
    <w:rsid w:val="00BB2F57"/>
    <w:rsid w:val="00BB316E"/>
    <w:rsid w:val="00BB3790"/>
    <w:rsid w:val="00BB3DEF"/>
    <w:rsid w:val="00BB3F5E"/>
    <w:rsid w:val="00BB4013"/>
    <w:rsid w:val="00BB497A"/>
    <w:rsid w:val="00BB49EF"/>
    <w:rsid w:val="00BB4AA7"/>
    <w:rsid w:val="00BB4B52"/>
    <w:rsid w:val="00BB4CAB"/>
    <w:rsid w:val="00BB4EAC"/>
    <w:rsid w:val="00BB4EAF"/>
    <w:rsid w:val="00BB53BC"/>
    <w:rsid w:val="00BB59C5"/>
    <w:rsid w:val="00BB6523"/>
    <w:rsid w:val="00BB67EE"/>
    <w:rsid w:val="00BB6EA1"/>
    <w:rsid w:val="00BB7821"/>
    <w:rsid w:val="00BB78E2"/>
    <w:rsid w:val="00BB7E7A"/>
    <w:rsid w:val="00BB7F73"/>
    <w:rsid w:val="00BC02E2"/>
    <w:rsid w:val="00BC0808"/>
    <w:rsid w:val="00BC082C"/>
    <w:rsid w:val="00BC0BCC"/>
    <w:rsid w:val="00BC0E2F"/>
    <w:rsid w:val="00BC10BE"/>
    <w:rsid w:val="00BC11EE"/>
    <w:rsid w:val="00BC14D7"/>
    <w:rsid w:val="00BC15C3"/>
    <w:rsid w:val="00BC1660"/>
    <w:rsid w:val="00BC1672"/>
    <w:rsid w:val="00BC2804"/>
    <w:rsid w:val="00BC28A0"/>
    <w:rsid w:val="00BC2C79"/>
    <w:rsid w:val="00BC2E60"/>
    <w:rsid w:val="00BC2F5C"/>
    <w:rsid w:val="00BC3003"/>
    <w:rsid w:val="00BC3700"/>
    <w:rsid w:val="00BC3715"/>
    <w:rsid w:val="00BC4178"/>
    <w:rsid w:val="00BC418B"/>
    <w:rsid w:val="00BC4576"/>
    <w:rsid w:val="00BC4703"/>
    <w:rsid w:val="00BC4871"/>
    <w:rsid w:val="00BC488F"/>
    <w:rsid w:val="00BC4913"/>
    <w:rsid w:val="00BC4997"/>
    <w:rsid w:val="00BC5482"/>
    <w:rsid w:val="00BC58CC"/>
    <w:rsid w:val="00BC599E"/>
    <w:rsid w:val="00BC5B47"/>
    <w:rsid w:val="00BC5E94"/>
    <w:rsid w:val="00BC72CF"/>
    <w:rsid w:val="00BC73DC"/>
    <w:rsid w:val="00BC745D"/>
    <w:rsid w:val="00BC753A"/>
    <w:rsid w:val="00BD008F"/>
    <w:rsid w:val="00BD0234"/>
    <w:rsid w:val="00BD0431"/>
    <w:rsid w:val="00BD0B60"/>
    <w:rsid w:val="00BD14A6"/>
    <w:rsid w:val="00BD1586"/>
    <w:rsid w:val="00BD17AA"/>
    <w:rsid w:val="00BD1EF6"/>
    <w:rsid w:val="00BD2101"/>
    <w:rsid w:val="00BD24EC"/>
    <w:rsid w:val="00BD2F86"/>
    <w:rsid w:val="00BD30D0"/>
    <w:rsid w:val="00BD31FA"/>
    <w:rsid w:val="00BD361C"/>
    <w:rsid w:val="00BD3898"/>
    <w:rsid w:val="00BD4A4A"/>
    <w:rsid w:val="00BD4AF9"/>
    <w:rsid w:val="00BD4EC0"/>
    <w:rsid w:val="00BD5355"/>
    <w:rsid w:val="00BD564D"/>
    <w:rsid w:val="00BD5941"/>
    <w:rsid w:val="00BD5973"/>
    <w:rsid w:val="00BD5A7B"/>
    <w:rsid w:val="00BD5CCB"/>
    <w:rsid w:val="00BD6654"/>
    <w:rsid w:val="00BD67EF"/>
    <w:rsid w:val="00BD6BB8"/>
    <w:rsid w:val="00BD72C2"/>
    <w:rsid w:val="00BD75BB"/>
    <w:rsid w:val="00BD79FF"/>
    <w:rsid w:val="00BD7C5A"/>
    <w:rsid w:val="00BE0197"/>
    <w:rsid w:val="00BE0825"/>
    <w:rsid w:val="00BE0EB5"/>
    <w:rsid w:val="00BE252E"/>
    <w:rsid w:val="00BE25DE"/>
    <w:rsid w:val="00BE2705"/>
    <w:rsid w:val="00BE279D"/>
    <w:rsid w:val="00BE2C47"/>
    <w:rsid w:val="00BE2D86"/>
    <w:rsid w:val="00BE2F23"/>
    <w:rsid w:val="00BE31F7"/>
    <w:rsid w:val="00BE32C0"/>
    <w:rsid w:val="00BE337A"/>
    <w:rsid w:val="00BE33C7"/>
    <w:rsid w:val="00BE4C5B"/>
    <w:rsid w:val="00BE5176"/>
    <w:rsid w:val="00BE579F"/>
    <w:rsid w:val="00BE5B63"/>
    <w:rsid w:val="00BE607B"/>
    <w:rsid w:val="00BE6259"/>
    <w:rsid w:val="00BE62CB"/>
    <w:rsid w:val="00BE6AE0"/>
    <w:rsid w:val="00BE6C82"/>
    <w:rsid w:val="00BE6D26"/>
    <w:rsid w:val="00BE70DA"/>
    <w:rsid w:val="00BE73F4"/>
    <w:rsid w:val="00BE750A"/>
    <w:rsid w:val="00BE782E"/>
    <w:rsid w:val="00BE7845"/>
    <w:rsid w:val="00BE7CA3"/>
    <w:rsid w:val="00BE7CF9"/>
    <w:rsid w:val="00BE7DBD"/>
    <w:rsid w:val="00BF01D5"/>
    <w:rsid w:val="00BF01F0"/>
    <w:rsid w:val="00BF04A7"/>
    <w:rsid w:val="00BF09AB"/>
    <w:rsid w:val="00BF0BEA"/>
    <w:rsid w:val="00BF0E55"/>
    <w:rsid w:val="00BF0FD5"/>
    <w:rsid w:val="00BF148B"/>
    <w:rsid w:val="00BF149C"/>
    <w:rsid w:val="00BF1DB2"/>
    <w:rsid w:val="00BF23DC"/>
    <w:rsid w:val="00BF3221"/>
    <w:rsid w:val="00BF3D51"/>
    <w:rsid w:val="00BF4102"/>
    <w:rsid w:val="00BF437E"/>
    <w:rsid w:val="00BF4415"/>
    <w:rsid w:val="00BF4680"/>
    <w:rsid w:val="00BF4832"/>
    <w:rsid w:val="00BF48BA"/>
    <w:rsid w:val="00BF4A01"/>
    <w:rsid w:val="00BF5401"/>
    <w:rsid w:val="00BF57BC"/>
    <w:rsid w:val="00BF5871"/>
    <w:rsid w:val="00BF5F6C"/>
    <w:rsid w:val="00BF60D0"/>
    <w:rsid w:val="00BF611C"/>
    <w:rsid w:val="00BF652E"/>
    <w:rsid w:val="00BF6652"/>
    <w:rsid w:val="00BF6A6D"/>
    <w:rsid w:val="00BF7346"/>
    <w:rsid w:val="00BF7BB7"/>
    <w:rsid w:val="00BF7F55"/>
    <w:rsid w:val="00C00095"/>
    <w:rsid w:val="00C00325"/>
    <w:rsid w:val="00C005ED"/>
    <w:rsid w:val="00C00891"/>
    <w:rsid w:val="00C00BEA"/>
    <w:rsid w:val="00C010B4"/>
    <w:rsid w:val="00C01142"/>
    <w:rsid w:val="00C013B3"/>
    <w:rsid w:val="00C01510"/>
    <w:rsid w:val="00C019D7"/>
    <w:rsid w:val="00C020CC"/>
    <w:rsid w:val="00C021D6"/>
    <w:rsid w:val="00C02263"/>
    <w:rsid w:val="00C02300"/>
    <w:rsid w:val="00C02938"/>
    <w:rsid w:val="00C030AD"/>
    <w:rsid w:val="00C031F8"/>
    <w:rsid w:val="00C035C6"/>
    <w:rsid w:val="00C04421"/>
    <w:rsid w:val="00C0485A"/>
    <w:rsid w:val="00C04A0E"/>
    <w:rsid w:val="00C04A30"/>
    <w:rsid w:val="00C04B00"/>
    <w:rsid w:val="00C05054"/>
    <w:rsid w:val="00C05F2C"/>
    <w:rsid w:val="00C06346"/>
    <w:rsid w:val="00C066B2"/>
    <w:rsid w:val="00C067C8"/>
    <w:rsid w:val="00C06898"/>
    <w:rsid w:val="00C06B15"/>
    <w:rsid w:val="00C06F0A"/>
    <w:rsid w:val="00C070DB"/>
    <w:rsid w:val="00C0778D"/>
    <w:rsid w:val="00C0792E"/>
    <w:rsid w:val="00C07F90"/>
    <w:rsid w:val="00C106D8"/>
    <w:rsid w:val="00C10964"/>
    <w:rsid w:val="00C10AA0"/>
    <w:rsid w:val="00C10C79"/>
    <w:rsid w:val="00C11019"/>
    <w:rsid w:val="00C11584"/>
    <w:rsid w:val="00C11A9C"/>
    <w:rsid w:val="00C12642"/>
    <w:rsid w:val="00C12778"/>
    <w:rsid w:val="00C129AD"/>
    <w:rsid w:val="00C12B18"/>
    <w:rsid w:val="00C131D9"/>
    <w:rsid w:val="00C1323A"/>
    <w:rsid w:val="00C134D1"/>
    <w:rsid w:val="00C142B3"/>
    <w:rsid w:val="00C14F32"/>
    <w:rsid w:val="00C14FB4"/>
    <w:rsid w:val="00C158E2"/>
    <w:rsid w:val="00C15AC9"/>
    <w:rsid w:val="00C15BDB"/>
    <w:rsid w:val="00C15E0C"/>
    <w:rsid w:val="00C15F2E"/>
    <w:rsid w:val="00C1620C"/>
    <w:rsid w:val="00C163D2"/>
    <w:rsid w:val="00C16464"/>
    <w:rsid w:val="00C16E0C"/>
    <w:rsid w:val="00C16F87"/>
    <w:rsid w:val="00C1708E"/>
    <w:rsid w:val="00C17133"/>
    <w:rsid w:val="00C17A5C"/>
    <w:rsid w:val="00C17DFE"/>
    <w:rsid w:val="00C17EFD"/>
    <w:rsid w:val="00C204EF"/>
    <w:rsid w:val="00C20FC5"/>
    <w:rsid w:val="00C211F5"/>
    <w:rsid w:val="00C217EC"/>
    <w:rsid w:val="00C21D16"/>
    <w:rsid w:val="00C21D48"/>
    <w:rsid w:val="00C21E1F"/>
    <w:rsid w:val="00C220EC"/>
    <w:rsid w:val="00C222FF"/>
    <w:rsid w:val="00C2263A"/>
    <w:rsid w:val="00C226CD"/>
    <w:rsid w:val="00C2287E"/>
    <w:rsid w:val="00C22973"/>
    <w:rsid w:val="00C23239"/>
    <w:rsid w:val="00C23C5E"/>
    <w:rsid w:val="00C240EE"/>
    <w:rsid w:val="00C240F6"/>
    <w:rsid w:val="00C244C5"/>
    <w:rsid w:val="00C2491D"/>
    <w:rsid w:val="00C249D3"/>
    <w:rsid w:val="00C24B9B"/>
    <w:rsid w:val="00C24C16"/>
    <w:rsid w:val="00C25AE4"/>
    <w:rsid w:val="00C26839"/>
    <w:rsid w:val="00C26A9B"/>
    <w:rsid w:val="00C27120"/>
    <w:rsid w:val="00C2760D"/>
    <w:rsid w:val="00C277D0"/>
    <w:rsid w:val="00C2780F"/>
    <w:rsid w:val="00C27B1B"/>
    <w:rsid w:val="00C27D98"/>
    <w:rsid w:val="00C27E57"/>
    <w:rsid w:val="00C27EF9"/>
    <w:rsid w:val="00C3014D"/>
    <w:rsid w:val="00C30373"/>
    <w:rsid w:val="00C30732"/>
    <w:rsid w:val="00C30A31"/>
    <w:rsid w:val="00C30A41"/>
    <w:rsid w:val="00C30AC7"/>
    <w:rsid w:val="00C3125A"/>
    <w:rsid w:val="00C31350"/>
    <w:rsid w:val="00C3179F"/>
    <w:rsid w:val="00C31821"/>
    <w:rsid w:val="00C31D51"/>
    <w:rsid w:val="00C31E07"/>
    <w:rsid w:val="00C32366"/>
    <w:rsid w:val="00C32419"/>
    <w:rsid w:val="00C3247D"/>
    <w:rsid w:val="00C327AE"/>
    <w:rsid w:val="00C32D00"/>
    <w:rsid w:val="00C3336D"/>
    <w:rsid w:val="00C340AF"/>
    <w:rsid w:val="00C34498"/>
    <w:rsid w:val="00C347DD"/>
    <w:rsid w:val="00C34C5D"/>
    <w:rsid w:val="00C34D53"/>
    <w:rsid w:val="00C34D65"/>
    <w:rsid w:val="00C359F3"/>
    <w:rsid w:val="00C35CC4"/>
    <w:rsid w:val="00C36259"/>
    <w:rsid w:val="00C3628F"/>
    <w:rsid w:val="00C36295"/>
    <w:rsid w:val="00C36506"/>
    <w:rsid w:val="00C367B7"/>
    <w:rsid w:val="00C370D8"/>
    <w:rsid w:val="00C3785D"/>
    <w:rsid w:val="00C37C64"/>
    <w:rsid w:val="00C37EB4"/>
    <w:rsid w:val="00C40020"/>
    <w:rsid w:val="00C401B1"/>
    <w:rsid w:val="00C40B61"/>
    <w:rsid w:val="00C40C9C"/>
    <w:rsid w:val="00C412F0"/>
    <w:rsid w:val="00C41872"/>
    <w:rsid w:val="00C41AB0"/>
    <w:rsid w:val="00C42128"/>
    <w:rsid w:val="00C42320"/>
    <w:rsid w:val="00C423CD"/>
    <w:rsid w:val="00C426D3"/>
    <w:rsid w:val="00C428D9"/>
    <w:rsid w:val="00C42A0C"/>
    <w:rsid w:val="00C42D2A"/>
    <w:rsid w:val="00C42D40"/>
    <w:rsid w:val="00C43033"/>
    <w:rsid w:val="00C432D6"/>
    <w:rsid w:val="00C437C8"/>
    <w:rsid w:val="00C439F1"/>
    <w:rsid w:val="00C43A2B"/>
    <w:rsid w:val="00C440FE"/>
    <w:rsid w:val="00C44AAC"/>
    <w:rsid w:val="00C44F3E"/>
    <w:rsid w:val="00C450F7"/>
    <w:rsid w:val="00C45403"/>
    <w:rsid w:val="00C456E7"/>
    <w:rsid w:val="00C4574A"/>
    <w:rsid w:val="00C45B7B"/>
    <w:rsid w:val="00C46020"/>
    <w:rsid w:val="00C46033"/>
    <w:rsid w:val="00C465E9"/>
    <w:rsid w:val="00C4687A"/>
    <w:rsid w:val="00C46EBB"/>
    <w:rsid w:val="00C471B1"/>
    <w:rsid w:val="00C47282"/>
    <w:rsid w:val="00C473FE"/>
    <w:rsid w:val="00C47665"/>
    <w:rsid w:val="00C47C02"/>
    <w:rsid w:val="00C47EE6"/>
    <w:rsid w:val="00C502E7"/>
    <w:rsid w:val="00C5089A"/>
    <w:rsid w:val="00C50B5E"/>
    <w:rsid w:val="00C50C4D"/>
    <w:rsid w:val="00C5111D"/>
    <w:rsid w:val="00C5142E"/>
    <w:rsid w:val="00C524EA"/>
    <w:rsid w:val="00C52BE2"/>
    <w:rsid w:val="00C52DEA"/>
    <w:rsid w:val="00C52EB5"/>
    <w:rsid w:val="00C52F96"/>
    <w:rsid w:val="00C53568"/>
    <w:rsid w:val="00C53618"/>
    <w:rsid w:val="00C538F8"/>
    <w:rsid w:val="00C53B59"/>
    <w:rsid w:val="00C53C60"/>
    <w:rsid w:val="00C53D46"/>
    <w:rsid w:val="00C53EC6"/>
    <w:rsid w:val="00C53F45"/>
    <w:rsid w:val="00C53F80"/>
    <w:rsid w:val="00C5466C"/>
    <w:rsid w:val="00C54CF8"/>
    <w:rsid w:val="00C55131"/>
    <w:rsid w:val="00C55135"/>
    <w:rsid w:val="00C556DB"/>
    <w:rsid w:val="00C55A32"/>
    <w:rsid w:val="00C563FB"/>
    <w:rsid w:val="00C56B46"/>
    <w:rsid w:val="00C56CD9"/>
    <w:rsid w:val="00C5721E"/>
    <w:rsid w:val="00C57486"/>
    <w:rsid w:val="00C578C7"/>
    <w:rsid w:val="00C57E13"/>
    <w:rsid w:val="00C57FE3"/>
    <w:rsid w:val="00C60FF0"/>
    <w:rsid w:val="00C613AD"/>
    <w:rsid w:val="00C61B9E"/>
    <w:rsid w:val="00C620BC"/>
    <w:rsid w:val="00C628FD"/>
    <w:rsid w:val="00C62986"/>
    <w:rsid w:val="00C62E21"/>
    <w:rsid w:val="00C62EDF"/>
    <w:rsid w:val="00C63D94"/>
    <w:rsid w:val="00C6405E"/>
    <w:rsid w:val="00C64133"/>
    <w:rsid w:val="00C647A4"/>
    <w:rsid w:val="00C64CDD"/>
    <w:rsid w:val="00C64E42"/>
    <w:rsid w:val="00C65099"/>
    <w:rsid w:val="00C650B3"/>
    <w:rsid w:val="00C65531"/>
    <w:rsid w:val="00C65A6A"/>
    <w:rsid w:val="00C65CDF"/>
    <w:rsid w:val="00C661E6"/>
    <w:rsid w:val="00C66213"/>
    <w:rsid w:val="00C6626C"/>
    <w:rsid w:val="00C66377"/>
    <w:rsid w:val="00C66476"/>
    <w:rsid w:val="00C66541"/>
    <w:rsid w:val="00C6694D"/>
    <w:rsid w:val="00C66C52"/>
    <w:rsid w:val="00C66CC9"/>
    <w:rsid w:val="00C66DBE"/>
    <w:rsid w:val="00C6704D"/>
    <w:rsid w:val="00C671C6"/>
    <w:rsid w:val="00C6782B"/>
    <w:rsid w:val="00C67FF1"/>
    <w:rsid w:val="00C70162"/>
    <w:rsid w:val="00C7075D"/>
    <w:rsid w:val="00C70B66"/>
    <w:rsid w:val="00C70E64"/>
    <w:rsid w:val="00C7216F"/>
    <w:rsid w:val="00C723C5"/>
    <w:rsid w:val="00C725A1"/>
    <w:rsid w:val="00C725BF"/>
    <w:rsid w:val="00C7261B"/>
    <w:rsid w:val="00C72851"/>
    <w:rsid w:val="00C72A1C"/>
    <w:rsid w:val="00C7398D"/>
    <w:rsid w:val="00C73F62"/>
    <w:rsid w:val="00C73FC2"/>
    <w:rsid w:val="00C74021"/>
    <w:rsid w:val="00C762AC"/>
    <w:rsid w:val="00C76558"/>
    <w:rsid w:val="00C76667"/>
    <w:rsid w:val="00C7670A"/>
    <w:rsid w:val="00C76E27"/>
    <w:rsid w:val="00C76E62"/>
    <w:rsid w:val="00C76F71"/>
    <w:rsid w:val="00C770A5"/>
    <w:rsid w:val="00C777FC"/>
    <w:rsid w:val="00C80177"/>
    <w:rsid w:val="00C808A9"/>
    <w:rsid w:val="00C8097A"/>
    <w:rsid w:val="00C809BE"/>
    <w:rsid w:val="00C80C21"/>
    <w:rsid w:val="00C81155"/>
    <w:rsid w:val="00C81346"/>
    <w:rsid w:val="00C81381"/>
    <w:rsid w:val="00C814C5"/>
    <w:rsid w:val="00C81992"/>
    <w:rsid w:val="00C81AA9"/>
    <w:rsid w:val="00C81EDA"/>
    <w:rsid w:val="00C81F39"/>
    <w:rsid w:val="00C82221"/>
    <w:rsid w:val="00C827CC"/>
    <w:rsid w:val="00C82807"/>
    <w:rsid w:val="00C82B37"/>
    <w:rsid w:val="00C83449"/>
    <w:rsid w:val="00C834B6"/>
    <w:rsid w:val="00C8373B"/>
    <w:rsid w:val="00C83AD1"/>
    <w:rsid w:val="00C83C86"/>
    <w:rsid w:val="00C846E3"/>
    <w:rsid w:val="00C84732"/>
    <w:rsid w:val="00C84C50"/>
    <w:rsid w:val="00C8503D"/>
    <w:rsid w:val="00C85B17"/>
    <w:rsid w:val="00C85B5D"/>
    <w:rsid w:val="00C85E0D"/>
    <w:rsid w:val="00C86052"/>
    <w:rsid w:val="00C863B3"/>
    <w:rsid w:val="00C86650"/>
    <w:rsid w:val="00C86759"/>
    <w:rsid w:val="00C86FED"/>
    <w:rsid w:val="00C87351"/>
    <w:rsid w:val="00C87653"/>
    <w:rsid w:val="00C879AF"/>
    <w:rsid w:val="00C87CB1"/>
    <w:rsid w:val="00C90067"/>
    <w:rsid w:val="00C90285"/>
    <w:rsid w:val="00C90612"/>
    <w:rsid w:val="00C90614"/>
    <w:rsid w:val="00C90787"/>
    <w:rsid w:val="00C90D97"/>
    <w:rsid w:val="00C9125C"/>
    <w:rsid w:val="00C912FC"/>
    <w:rsid w:val="00C918A1"/>
    <w:rsid w:val="00C921ED"/>
    <w:rsid w:val="00C923C5"/>
    <w:rsid w:val="00C92727"/>
    <w:rsid w:val="00C93375"/>
    <w:rsid w:val="00C937CB"/>
    <w:rsid w:val="00C9390B"/>
    <w:rsid w:val="00C939E4"/>
    <w:rsid w:val="00C93C61"/>
    <w:rsid w:val="00C943DD"/>
    <w:rsid w:val="00C94479"/>
    <w:rsid w:val="00C94492"/>
    <w:rsid w:val="00C94BEA"/>
    <w:rsid w:val="00C94C78"/>
    <w:rsid w:val="00C95117"/>
    <w:rsid w:val="00C9529A"/>
    <w:rsid w:val="00C95373"/>
    <w:rsid w:val="00C9579C"/>
    <w:rsid w:val="00C957BE"/>
    <w:rsid w:val="00C959B3"/>
    <w:rsid w:val="00C96BEC"/>
    <w:rsid w:val="00C97066"/>
    <w:rsid w:val="00C973AB"/>
    <w:rsid w:val="00C97750"/>
    <w:rsid w:val="00C977F8"/>
    <w:rsid w:val="00CA020C"/>
    <w:rsid w:val="00CA0D3A"/>
    <w:rsid w:val="00CA13C3"/>
    <w:rsid w:val="00CA386A"/>
    <w:rsid w:val="00CA3ADC"/>
    <w:rsid w:val="00CA3BF3"/>
    <w:rsid w:val="00CA3C32"/>
    <w:rsid w:val="00CA3D99"/>
    <w:rsid w:val="00CA3ED1"/>
    <w:rsid w:val="00CA4284"/>
    <w:rsid w:val="00CA4A11"/>
    <w:rsid w:val="00CA4A2D"/>
    <w:rsid w:val="00CA4A73"/>
    <w:rsid w:val="00CA4D97"/>
    <w:rsid w:val="00CA4E04"/>
    <w:rsid w:val="00CA555B"/>
    <w:rsid w:val="00CA57DF"/>
    <w:rsid w:val="00CA6A92"/>
    <w:rsid w:val="00CA6D0B"/>
    <w:rsid w:val="00CA6D38"/>
    <w:rsid w:val="00CA7224"/>
    <w:rsid w:val="00CA74DA"/>
    <w:rsid w:val="00CA75F1"/>
    <w:rsid w:val="00CA7671"/>
    <w:rsid w:val="00CA7E3B"/>
    <w:rsid w:val="00CB041E"/>
    <w:rsid w:val="00CB15D8"/>
    <w:rsid w:val="00CB18AC"/>
    <w:rsid w:val="00CB1CE0"/>
    <w:rsid w:val="00CB20F4"/>
    <w:rsid w:val="00CB23C6"/>
    <w:rsid w:val="00CB2503"/>
    <w:rsid w:val="00CB2D10"/>
    <w:rsid w:val="00CB3005"/>
    <w:rsid w:val="00CB3319"/>
    <w:rsid w:val="00CB3548"/>
    <w:rsid w:val="00CB3777"/>
    <w:rsid w:val="00CB3EEA"/>
    <w:rsid w:val="00CB4286"/>
    <w:rsid w:val="00CB4387"/>
    <w:rsid w:val="00CB4467"/>
    <w:rsid w:val="00CB45E1"/>
    <w:rsid w:val="00CB4B81"/>
    <w:rsid w:val="00CB58AA"/>
    <w:rsid w:val="00CB5CC9"/>
    <w:rsid w:val="00CB64D1"/>
    <w:rsid w:val="00CB692D"/>
    <w:rsid w:val="00CB6A77"/>
    <w:rsid w:val="00CB6A7D"/>
    <w:rsid w:val="00CB7322"/>
    <w:rsid w:val="00CC0039"/>
    <w:rsid w:val="00CC00E2"/>
    <w:rsid w:val="00CC10CE"/>
    <w:rsid w:val="00CC12B6"/>
    <w:rsid w:val="00CC1606"/>
    <w:rsid w:val="00CC1C4B"/>
    <w:rsid w:val="00CC1E7A"/>
    <w:rsid w:val="00CC252D"/>
    <w:rsid w:val="00CC2AC5"/>
    <w:rsid w:val="00CC2C10"/>
    <w:rsid w:val="00CC2C42"/>
    <w:rsid w:val="00CC2DB2"/>
    <w:rsid w:val="00CC36DA"/>
    <w:rsid w:val="00CC3801"/>
    <w:rsid w:val="00CC40E5"/>
    <w:rsid w:val="00CC4B4D"/>
    <w:rsid w:val="00CC5029"/>
    <w:rsid w:val="00CC5472"/>
    <w:rsid w:val="00CC5558"/>
    <w:rsid w:val="00CC57C9"/>
    <w:rsid w:val="00CC592E"/>
    <w:rsid w:val="00CC59B9"/>
    <w:rsid w:val="00CC5D57"/>
    <w:rsid w:val="00CC5E57"/>
    <w:rsid w:val="00CC62BA"/>
    <w:rsid w:val="00CC70D1"/>
    <w:rsid w:val="00CC729E"/>
    <w:rsid w:val="00CC7667"/>
    <w:rsid w:val="00CC7ADB"/>
    <w:rsid w:val="00CD0282"/>
    <w:rsid w:val="00CD0A82"/>
    <w:rsid w:val="00CD0D65"/>
    <w:rsid w:val="00CD1C04"/>
    <w:rsid w:val="00CD1DB0"/>
    <w:rsid w:val="00CD1F62"/>
    <w:rsid w:val="00CD20AF"/>
    <w:rsid w:val="00CD2248"/>
    <w:rsid w:val="00CD2477"/>
    <w:rsid w:val="00CD2773"/>
    <w:rsid w:val="00CD2E64"/>
    <w:rsid w:val="00CD3F82"/>
    <w:rsid w:val="00CD4205"/>
    <w:rsid w:val="00CD4522"/>
    <w:rsid w:val="00CD45EC"/>
    <w:rsid w:val="00CD46BE"/>
    <w:rsid w:val="00CD5342"/>
    <w:rsid w:val="00CD574C"/>
    <w:rsid w:val="00CD57C2"/>
    <w:rsid w:val="00CD72A8"/>
    <w:rsid w:val="00CD7797"/>
    <w:rsid w:val="00CD78FE"/>
    <w:rsid w:val="00CD7AAD"/>
    <w:rsid w:val="00CD7C04"/>
    <w:rsid w:val="00CD7C54"/>
    <w:rsid w:val="00CD7CD8"/>
    <w:rsid w:val="00CE004D"/>
    <w:rsid w:val="00CE02B2"/>
    <w:rsid w:val="00CE0A2C"/>
    <w:rsid w:val="00CE13E1"/>
    <w:rsid w:val="00CE1CF0"/>
    <w:rsid w:val="00CE1D91"/>
    <w:rsid w:val="00CE1EB3"/>
    <w:rsid w:val="00CE2257"/>
    <w:rsid w:val="00CE299A"/>
    <w:rsid w:val="00CE3066"/>
    <w:rsid w:val="00CE4139"/>
    <w:rsid w:val="00CE4429"/>
    <w:rsid w:val="00CE4688"/>
    <w:rsid w:val="00CE47FD"/>
    <w:rsid w:val="00CE50F2"/>
    <w:rsid w:val="00CE60D0"/>
    <w:rsid w:val="00CE619A"/>
    <w:rsid w:val="00CE6665"/>
    <w:rsid w:val="00CE69E9"/>
    <w:rsid w:val="00CE6A47"/>
    <w:rsid w:val="00CE6A74"/>
    <w:rsid w:val="00CE6B7D"/>
    <w:rsid w:val="00CE7151"/>
    <w:rsid w:val="00CE7174"/>
    <w:rsid w:val="00CE736B"/>
    <w:rsid w:val="00CE7502"/>
    <w:rsid w:val="00CE770E"/>
    <w:rsid w:val="00CE7D10"/>
    <w:rsid w:val="00CF00A2"/>
    <w:rsid w:val="00CF0576"/>
    <w:rsid w:val="00CF0947"/>
    <w:rsid w:val="00CF09ED"/>
    <w:rsid w:val="00CF0A3B"/>
    <w:rsid w:val="00CF117D"/>
    <w:rsid w:val="00CF1236"/>
    <w:rsid w:val="00CF130C"/>
    <w:rsid w:val="00CF14B7"/>
    <w:rsid w:val="00CF1D98"/>
    <w:rsid w:val="00CF1F02"/>
    <w:rsid w:val="00CF206F"/>
    <w:rsid w:val="00CF253F"/>
    <w:rsid w:val="00CF3168"/>
    <w:rsid w:val="00CF32FB"/>
    <w:rsid w:val="00CF340B"/>
    <w:rsid w:val="00CF379F"/>
    <w:rsid w:val="00CF37F9"/>
    <w:rsid w:val="00CF392B"/>
    <w:rsid w:val="00CF392D"/>
    <w:rsid w:val="00CF3A93"/>
    <w:rsid w:val="00CF3E25"/>
    <w:rsid w:val="00CF448A"/>
    <w:rsid w:val="00CF457A"/>
    <w:rsid w:val="00CF4776"/>
    <w:rsid w:val="00CF4A96"/>
    <w:rsid w:val="00CF56A2"/>
    <w:rsid w:val="00CF6159"/>
    <w:rsid w:val="00CF633A"/>
    <w:rsid w:val="00CF641F"/>
    <w:rsid w:val="00CF66C5"/>
    <w:rsid w:val="00CF6BF4"/>
    <w:rsid w:val="00CF76B7"/>
    <w:rsid w:val="00CF7F13"/>
    <w:rsid w:val="00D00073"/>
    <w:rsid w:val="00D00194"/>
    <w:rsid w:val="00D00254"/>
    <w:rsid w:val="00D00609"/>
    <w:rsid w:val="00D00F0E"/>
    <w:rsid w:val="00D0170F"/>
    <w:rsid w:val="00D017BF"/>
    <w:rsid w:val="00D02D45"/>
    <w:rsid w:val="00D02DC5"/>
    <w:rsid w:val="00D02E16"/>
    <w:rsid w:val="00D03075"/>
    <w:rsid w:val="00D03584"/>
    <w:rsid w:val="00D03B6B"/>
    <w:rsid w:val="00D04871"/>
    <w:rsid w:val="00D04FD5"/>
    <w:rsid w:val="00D053B9"/>
    <w:rsid w:val="00D05711"/>
    <w:rsid w:val="00D0571B"/>
    <w:rsid w:val="00D060A7"/>
    <w:rsid w:val="00D060CE"/>
    <w:rsid w:val="00D06390"/>
    <w:rsid w:val="00D063B6"/>
    <w:rsid w:val="00D06CCE"/>
    <w:rsid w:val="00D06D0E"/>
    <w:rsid w:val="00D07228"/>
    <w:rsid w:val="00D072D0"/>
    <w:rsid w:val="00D078F7"/>
    <w:rsid w:val="00D07DEC"/>
    <w:rsid w:val="00D10592"/>
    <w:rsid w:val="00D105AD"/>
    <w:rsid w:val="00D10948"/>
    <w:rsid w:val="00D10960"/>
    <w:rsid w:val="00D10E4B"/>
    <w:rsid w:val="00D10FD3"/>
    <w:rsid w:val="00D1118B"/>
    <w:rsid w:val="00D11619"/>
    <w:rsid w:val="00D118E2"/>
    <w:rsid w:val="00D11D77"/>
    <w:rsid w:val="00D13903"/>
    <w:rsid w:val="00D1393E"/>
    <w:rsid w:val="00D139FA"/>
    <w:rsid w:val="00D13A68"/>
    <w:rsid w:val="00D1419C"/>
    <w:rsid w:val="00D15273"/>
    <w:rsid w:val="00D1535E"/>
    <w:rsid w:val="00D15AD5"/>
    <w:rsid w:val="00D169A5"/>
    <w:rsid w:val="00D17BDD"/>
    <w:rsid w:val="00D205F7"/>
    <w:rsid w:val="00D206DD"/>
    <w:rsid w:val="00D20BC5"/>
    <w:rsid w:val="00D21320"/>
    <w:rsid w:val="00D2177B"/>
    <w:rsid w:val="00D2180D"/>
    <w:rsid w:val="00D21B18"/>
    <w:rsid w:val="00D21F7D"/>
    <w:rsid w:val="00D225F1"/>
    <w:rsid w:val="00D2268D"/>
    <w:rsid w:val="00D22792"/>
    <w:rsid w:val="00D22A2D"/>
    <w:rsid w:val="00D23AC6"/>
    <w:rsid w:val="00D23CF6"/>
    <w:rsid w:val="00D2482C"/>
    <w:rsid w:val="00D24E4B"/>
    <w:rsid w:val="00D24E9D"/>
    <w:rsid w:val="00D24F09"/>
    <w:rsid w:val="00D25067"/>
    <w:rsid w:val="00D254D5"/>
    <w:rsid w:val="00D25CD3"/>
    <w:rsid w:val="00D25DCC"/>
    <w:rsid w:val="00D25E4E"/>
    <w:rsid w:val="00D26280"/>
    <w:rsid w:val="00D26540"/>
    <w:rsid w:val="00D26AA2"/>
    <w:rsid w:val="00D26BBA"/>
    <w:rsid w:val="00D275AF"/>
    <w:rsid w:val="00D27644"/>
    <w:rsid w:val="00D27998"/>
    <w:rsid w:val="00D279B9"/>
    <w:rsid w:val="00D27D63"/>
    <w:rsid w:val="00D306BA"/>
    <w:rsid w:val="00D30877"/>
    <w:rsid w:val="00D30B15"/>
    <w:rsid w:val="00D3103F"/>
    <w:rsid w:val="00D31694"/>
    <w:rsid w:val="00D3199E"/>
    <w:rsid w:val="00D31C0D"/>
    <w:rsid w:val="00D320F9"/>
    <w:rsid w:val="00D3219D"/>
    <w:rsid w:val="00D32368"/>
    <w:rsid w:val="00D32404"/>
    <w:rsid w:val="00D32AD5"/>
    <w:rsid w:val="00D32E75"/>
    <w:rsid w:val="00D32FEC"/>
    <w:rsid w:val="00D333BD"/>
    <w:rsid w:val="00D33410"/>
    <w:rsid w:val="00D3418D"/>
    <w:rsid w:val="00D3468F"/>
    <w:rsid w:val="00D349F1"/>
    <w:rsid w:val="00D34CDC"/>
    <w:rsid w:val="00D351ED"/>
    <w:rsid w:val="00D35AFA"/>
    <w:rsid w:val="00D35C28"/>
    <w:rsid w:val="00D36078"/>
    <w:rsid w:val="00D3618D"/>
    <w:rsid w:val="00D364D0"/>
    <w:rsid w:val="00D36749"/>
    <w:rsid w:val="00D367CB"/>
    <w:rsid w:val="00D36827"/>
    <w:rsid w:val="00D36B28"/>
    <w:rsid w:val="00D36EB9"/>
    <w:rsid w:val="00D37300"/>
    <w:rsid w:val="00D37928"/>
    <w:rsid w:val="00D37C21"/>
    <w:rsid w:val="00D37DB6"/>
    <w:rsid w:val="00D400AF"/>
    <w:rsid w:val="00D4016D"/>
    <w:rsid w:val="00D4021E"/>
    <w:rsid w:val="00D40678"/>
    <w:rsid w:val="00D408C9"/>
    <w:rsid w:val="00D40DEC"/>
    <w:rsid w:val="00D4130D"/>
    <w:rsid w:val="00D41574"/>
    <w:rsid w:val="00D415BB"/>
    <w:rsid w:val="00D415D3"/>
    <w:rsid w:val="00D41844"/>
    <w:rsid w:val="00D41B52"/>
    <w:rsid w:val="00D41B9C"/>
    <w:rsid w:val="00D42527"/>
    <w:rsid w:val="00D425EC"/>
    <w:rsid w:val="00D42C9A"/>
    <w:rsid w:val="00D43252"/>
    <w:rsid w:val="00D43372"/>
    <w:rsid w:val="00D433F2"/>
    <w:rsid w:val="00D435E2"/>
    <w:rsid w:val="00D43735"/>
    <w:rsid w:val="00D43D8E"/>
    <w:rsid w:val="00D43DFC"/>
    <w:rsid w:val="00D43F6F"/>
    <w:rsid w:val="00D440F0"/>
    <w:rsid w:val="00D44F07"/>
    <w:rsid w:val="00D4506D"/>
    <w:rsid w:val="00D459AC"/>
    <w:rsid w:val="00D45C50"/>
    <w:rsid w:val="00D45C71"/>
    <w:rsid w:val="00D45DAA"/>
    <w:rsid w:val="00D46172"/>
    <w:rsid w:val="00D462BB"/>
    <w:rsid w:val="00D46624"/>
    <w:rsid w:val="00D467F7"/>
    <w:rsid w:val="00D46AF4"/>
    <w:rsid w:val="00D46EB2"/>
    <w:rsid w:val="00D474CC"/>
    <w:rsid w:val="00D475A3"/>
    <w:rsid w:val="00D47A2C"/>
    <w:rsid w:val="00D47F84"/>
    <w:rsid w:val="00D5012F"/>
    <w:rsid w:val="00D5031A"/>
    <w:rsid w:val="00D504A1"/>
    <w:rsid w:val="00D508CE"/>
    <w:rsid w:val="00D511F9"/>
    <w:rsid w:val="00D51B59"/>
    <w:rsid w:val="00D51C21"/>
    <w:rsid w:val="00D51D4A"/>
    <w:rsid w:val="00D5237E"/>
    <w:rsid w:val="00D5243D"/>
    <w:rsid w:val="00D52D24"/>
    <w:rsid w:val="00D52FBD"/>
    <w:rsid w:val="00D530E9"/>
    <w:rsid w:val="00D53291"/>
    <w:rsid w:val="00D5354F"/>
    <w:rsid w:val="00D53931"/>
    <w:rsid w:val="00D53B93"/>
    <w:rsid w:val="00D53E61"/>
    <w:rsid w:val="00D541B5"/>
    <w:rsid w:val="00D547F1"/>
    <w:rsid w:val="00D54DEB"/>
    <w:rsid w:val="00D54FC1"/>
    <w:rsid w:val="00D5542E"/>
    <w:rsid w:val="00D554B0"/>
    <w:rsid w:val="00D55588"/>
    <w:rsid w:val="00D55AC6"/>
    <w:rsid w:val="00D55CCE"/>
    <w:rsid w:val="00D55EA9"/>
    <w:rsid w:val="00D562BC"/>
    <w:rsid w:val="00D565BC"/>
    <w:rsid w:val="00D56B26"/>
    <w:rsid w:val="00D5702C"/>
    <w:rsid w:val="00D576CB"/>
    <w:rsid w:val="00D57A61"/>
    <w:rsid w:val="00D60A4C"/>
    <w:rsid w:val="00D613CE"/>
    <w:rsid w:val="00D61B68"/>
    <w:rsid w:val="00D621DC"/>
    <w:rsid w:val="00D623D0"/>
    <w:rsid w:val="00D624FA"/>
    <w:rsid w:val="00D626F0"/>
    <w:rsid w:val="00D62848"/>
    <w:rsid w:val="00D6312D"/>
    <w:rsid w:val="00D63A53"/>
    <w:rsid w:val="00D63EFF"/>
    <w:rsid w:val="00D640CB"/>
    <w:rsid w:val="00D64AE8"/>
    <w:rsid w:val="00D64B1E"/>
    <w:rsid w:val="00D64B2E"/>
    <w:rsid w:val="00D651C8"/>
    <w:rsid w:val="00D654D1"/>
    <w:rsid w:val="00D65571"/>
    <w:rsid w:val="00D65B65"/>
    <w:rsid w:val="00D65C09"/>
    <w:rsid w:val="00D6651A"/>
    <w:rsid w:val="00D6727E"/>
    <w:rsid w:val="00D67637"/>
    <w:rsid w:val="00D67DBB"/>
    <w:rsid w:val="00D67F89"/>
    <w:rsid w:val="00D70173"/>
    <w:rsid w:val="00D705E1"/>
    <w:rsid w:val="00D70696"/>
    <w:rsid w:val="00D709DD"/>
    <w:rsid w:val="00D70C72"/>
    <w:rsid w:val="00D70D11"/>
    <w:rsid w:val="00D70D8C"/>
    <w:rsid w:val="00D70DA5"/>
    <w:rsid w:val="00D70F83"/>
    <w:rsid w:val="00D716AC"/>
    <w:rsid w:val="00D71883"/>
    <w:rsid w:val="00D71E2A"/>
    <w:rsid w:val="00D7218A"/>
    <w:rsid w:val="00D7256A"/>
    <w:rsid w:val="00D72696"/>
    <w:rsid w:val="00D726ED"/>
    <w:rsid w:val="00D72986"/>
    <w:rsid w:val="00D72EF3"/>
    <w:rsid w:val="00D7304D"/>
    <w:rsid w:val="00D73087"/>
    <w:rsid w:val="00D7331F"/>
    <w:rsid w:val="00D73395"/>
    <w:rsid w:val="00D7339C"/>
    <w:rsid w:val="00D735FF"/>
    <w:rsid w:val="00D7375D"/>
    <w:rsid w:val="00D737B3"/>
    <w:rsid w:val="00D738A7"/>
    <w:rsid w:val="00D739A6"/>
    <w:rsid w:val="00D744E2"/>
    <w:rsid w:val="00D74529"/>
    <w:rsid w:val="00D746D2"/>
    <w:rsid w:val="00D74E1B"/>
    <w:rsid w:val="00D74F16"/>
    <w:rsid w:val="00D75187"/>
    <w:rsid w:val="00D751D1"/>
    <w:rsid w:val="00D75566"/>
    <w:rsid w:val="00D75BE3"/>
    <w:rsid w:val="00D76263"/>
    <w:rsid w:val="00D76325"/>
    <w:rsid w:val="00D766B6"/>
    <w:rsid w:val="00D76895"/>
    <w:rsid w:val="00D768CC"/>
    <w:rsid w:val="00D769C8"/>
    <w:rsid w:val="00D76A55"/>
    <w:rsid w:val="00D77134"/>
    <w:rsid w:val="00D7784A"/>
    <w:rsid w:val="00D77C5F"/>
    <w:rsid w:val="00D77F7A"/>
    <w:rsid w:val="00D77FB9"/>
    <w:rsid w:val="00D808D9"/>
    <w:rsid w:val="00D80D63"/>
    <w:rsid w:val="00D8114C"/>
    <w:rsid w:val="00D814D0"/>
    <w:rsid w:val="00D830B9"/>
    <w:rsid w:val="00D83577"/>
    <w:rsid w:val="00D83732"/>
    <w:rsid w:val="00D83BDA"/>
    <w:rsid w:val="00D848CC"/>
    <w:rsid w:val="00D85D84"/>
    <w:rsid w:val="00D860B5"/>
    <w:rsid w:val="00D8631D"/>
    <w:rsid w:val="00D86478"/>
    <w:rsid w:val="00D86542"/>
    <w:rsid w:val="00D8694E"/>
    <w:rsid w:val="00D86A1A"/>
    <w:rsid w:val="00D870F8"/>
    <w:rsid w:val="00D87831"/>
    <w:rsid w:val="00D87ED6"/>
    <w:rsid w:val="00D87FA2"/>
    <w:rsid w:val="00D90471"/>
    <w:rsid w:val="00D9055F"/>
    <w:rsid w:val="00D90CB3"/>
    <w:rsid w:val="00D90F92"/>
    <w:rsid w:val="00D91828"/>
    <w:rsid w:val="00D91AEE"/>
    <w:rsid w:val="00D91DBB"/>
    <w:rsid w:val="00D92665"/>
    <w:rsid w:val="00D9282F"/>
    <w:rsid w:val="00D936B6"/>
    <w:rsid w:val="00D93BA3"/>
    <w:rsid w:val="00D93C73"/>
    <w:rsid w:val="00D93D0C"/>
    <w:rsid w:val="00D93D50"/>
    <w:rsid w:val="00D93EC2"/>
    <w:rsid w:val="00D94120"/>
    <w:rsid w:val="00D943CD"/>
    <w:rsid w:val="00D944B5"/>
    <w:rsid w:val="00D9467B"/>
    <w:rsid w:val="00D946EA"/>
    <w:rsid w:val="00D94912"/>
    <w:rsid w:val="00D94D55"/>
    <w:rsid w:val="00D94DFD"/>
    <w:rsid w:val="00D94FFD"/>
    <w:rsid w:val="00D9543E"/>
    <w:rsid w:val="00D96B77"/>
    <w:rsid w:val="00D96E3E"/>
    <w:rsid w:val="00D96F4C"/>
    <w:rsid w:val="00D97978"/>
    <w:rsid w:val="00D979D6"/>
    <w:rsid w:val="00D979EC"/>
    <w:rsid w:val="00D97A00"/>
    <w:rsid w:val="00D97A14"/>
    <w:rsid w:val="00D97AA9"/>
    <w:rsid w:val="00D97FC8"/>
    <w:rsid w:val="00DA00FD"/>
    <w:rsid w:val="00DA025F"/>
    <w:rsid w:val="00DA03CE"/>
    <w:rsid w:val="00DA0429"/>
    <w:rsid w:val="00DA04E7"/>
    <w:rsid w:val="00DA059A"/>
    <w:rsid w:val="00DA1091"/>
    <w:rsid w:val="00DA14EE"/>
    <w:rsid w:val="00DA1524"/>
    <w:rsid w:val="00DA1855"/>
    <w:rsid w:val="00DA1961"/>
    <w:rsid w:val="00DA1BF9"/>
    <w:rsid w:val="00DA1E7B"/>
    <w:rsid w:val="00DA1FB4"/>
    <w:rsid w:val="00DA28DE"/>
    <w:rsid w:val="00DA2904"/>
    <w:rsid w:val="00DA2C31"/>
    <w:rsid w:val="00DA2DAC"/>
    <w:rsid w:val="00DA36F4"/>
    <w:rsid w:val="00DA37D7"/>
    <w:rsid w:val="00DA3987"/>
    <w:rsid w:val="00DA3B3C"/>
    <w:rsid w:val="00DA3E77"/>
    <w:rsid w:val="00DA4FF0"/>
    <w:rsid w:val="00DA54C3"/>
    <w:rsid w:val="00DA5F23"/>
    <w:rsid w:val="00DA5F72"/>
    <w:rsid w:val="00DA6120"/>
    <w:rsid w:val="00DA65BD"/>
    <w:rsid w:val="00DA663E"/>
    <w:rsid w:val="00DA666A"/>
    <w:rsid w:val="00DA6726"/>
    <w:rsid w:val="00DA6756"/>
    <w:rsid w:val="00DA6F19"/>
    <w:rsid w:val="00DA70DD"/>
    <w:rsid w:val="00DA787C"/>
    <w:rsid w:val="00DA7C31"/>
    <w:rsid w:val="00DA7CFA"/>
    <w:rsid w:val="00DA7D70"/>
    <w:rsid w:val="00DA7E73"/>
    <w:rsid w:val="00DA7FE3"/>
    <w:rsid w:val="00DB0159"/>
    <w:rsid w:val="00DB0E10"/>
    <w:rsid w:val="00DB1566"/>
    <w:rsid w:val="00DB16D5"/>
    <w:rsid w:val="00DB1851"/>
    <w:rsid w:val="00DB2020"/>
    <w:rsid w:val="00DB22B4"/>
    <w:rsid w:val="00DB2C8B"/>
    <w:rsid w:val="00DB3492"/>
    <w:rsid w:val="00DB353A"/>
    <w:rsid w:val="00DB3608"/>
    <w:rsid w:val="00DB398B"/>
    <w:rsid w:val="00DB39BD"/>
    <w:rsid w:val="00DB3AE6"/>
    <w:rsid w:val="00DB4B60"/>
    <w:rsid w:val="00DB4E0D"/>
    <w:rsid w:val="00DB4F40"/>
    <w:rsid w:val="00DB4F8F"/>
    <w:rsid w:val="00DB5266"/>
    <w:rsid w:val="00DB566B"/>
    <w:rsid w:val="00DB5FD0"/>
    <w:rsid w:val="00DB6625"/>
    <w:rsid w:val="00DB6BD7"/>
    <w:rsid w:val="00DB6D95"/>
    <w:rsid w:val="00DB76E2"/>
    <w:rsid w:val="00DB7762"/>
    <w:rsid w:val="00DB7C90"/>
    <w:rsid w:val="00DB7EC6"/>
    <w:rsid w:val="00DC0403"/>
    <w:rsid w:val="00DC08C8"/>
    <w:rsid w:val="00DC0D51"/>
    <w:rsid w:val="00DC1269"/>
    <w:rsid w:val="00DC1315"/>
    <w:rsid w:val="00DC1704"/>
    <w:rsid w:val="00DC17B3"/>
    <w:rsid w:val="00DC1875"/>
    <w:rsid w:val="00DC1A2B"/>
    <w:rsid w:val="00DC1AEB"/>
    <w:rsid w:val="00DC1E37"/>
    <w:rsid w:val="00DC1F09"/>
    <w:rsid w:val="00DC2727"/>
    <w:rsid w:val="00DC27B2"/>
    <w:rsid w:val="00DC2856"/>
    <w:rsid w:val="00DC28A8"/>
    <w:rsid w:val="00DC2921"/>
    <w:rsid w:val="00DC3178"/>
    <w:rsid w:val="00DC3279"/>
    <w:rsid w:val="00DC32C7"/>
    <w:rsid w:val="00DC402B"/>
    <w:rsid w:val="00DC4842"/>
    <w:rsid w:val="00DC4F3E"/>
    <w:rsid w:val="00DC50F9"/>
    <w:rsid w:val="00DC5254"/>
    <w:rsid w:val="00DC5E25"/>
    <w:rsid w:val="00DC66F7"/>
    <w:rsid w:val="00DC679F"/>
    <w:rsid w:val="00DC6800"/>
    <w:rsid w:val="00DC68CD"/>
    <w:rsid w:val="00DC6AFF"/>
    <w:rsid w:val="00DC6B4B"/>
    <w:rsid w:val="00DC6E43"/>
    <w:rsid w:val="00DC6FC4"/>
    <w:rsid w:val="00DC7F66"/>
    <w:rsid w:val="00DC7FDE"/>
    <w:rsid w:val="00DD01DF"/>
    <w:rsid w:val="00DD0280"/>
    <w:rsid w:val="00DD04B6"/>
    <w:rsid w:val="00DD04E8"/>
    <w:rsid w:val="00DD0BF5"/>
    <w:rsid w:val="00DD0D6F"/>
    <w:rsid w:val="00DD10EF"/>
    <w:rsid w:val="00DD12AF"/>
    <w:rsid w:val="00DD1F22"/>
    <w:rsid w:val="00DD2076"/>
    <w:rsid w:val="00DD21E1"/>
    <w:rsid w:val="00DD26FC"/>
    <w:rsid w:val="00DD28D6"/>
    <w:rsid w:val="00DD2E37"/>
    <w:rsid w:val="00DD33CE"/>
    <w:rsid w:val="00DD3DA5"/>
    <w:rsid w:val="00DD41C7"/>
    <w:rsid w:val="00DD41F4"/>
    <w:rsid w:val="00DD447B"/>
    <w:rsid w:val="00DD4718"/>
    <w:rsid w:val="00DD4BAA"/>
    <w:rsid w:val="00DD4E6A"/>
    <w:rsid w:val="00DD4E72"/>
    <w:rsid w:val="00DD4E86"/>
    <w:rsid w:val="00DD5410"/>
    <w:rsid w:val="00DD61D9"/>
    <w:rsid w:val="00DD69E3"/>
    <w:rsid w:val="00DD6A92"/>
    <w:rsid w:val="00DD6B00"/>
    <w:rsid w:val="00DD6B1E"/>
    <w:rsid w:val="00DD6BD4"/>
    <w:rsid w:val="00DD6F4D"/>
    <w:rsid w:val="00DD7390"/>
    <w:rsid w:val="00DD73E5"/>
    <w:rsid w:val="00DD7851"/>
    <w:rsid w:val="00DE03EE"/>
    <w:rsid w:val="00DE050E"/>
    <w:rsid w:val="00DE1924"/>
    <w:rsid w:val="00DE1E8C"/>
    <w:rsid w:val="00DE2122"/>
    <w:rsid w:val="00DE2A45"/>
    <w:rsid w:val="00DE2CC1"/>
    <w:rsid w:val="00DE3181"/>
    <w:rsid w:val="00DE41A0"/>
    <w:rsid w:val="00DE43C3"/>
    <w:rsid w:val="00DE4BC1"/>
    <w:rsid w:val="00DE4C50"/>
    <w:rsid w:val="00DE4E38"/>
    <w:rsid w:val="00DE57C9"/>
    <w:rsid w:val="00DE5C78"/>
    <w:rsid w:val="00DE5CE2"/>
    <w:rsid w:val="00DE5F9B"/>
    <w:rsid w:val="00DE62DF"/>
    <w:rsid w:val="00DE6480"/>
    <w:rsid w:val="00DE6555"/>
    <w:rsid w:val="00DE6B7C"/>
    <w:rsid w:val="00DE7ABD"/>
    <w:rsid w:val="00DF06B0"/>
    <w:rsid w:val="00DF12D3"/>
    <w:rsid w:val="00DF1892"/>
    <w:rsid w:val="00DF1C4A"/>
    <w:rsid w:val="00DF26E9"/>
    <w:rsid w:val="00DF27C3"/>
    <w:rsid w:val="00DF29F7"/>
    <w:rsid w:val="00DF2A19"/>
    <w:rsid w:val="00DF2EA7"/>
    <w:rsid w:val="00DF355C"/>
    <w:rsid w:val="00DF3634"/>
    <w:rsid w:val="00DF47B7"/>
    <w:rsid w:val="00DF4B4D"/>
    <w:rsid w:val="00DF4DA7"/>
    <w:rsid w:val="00DF50DA"/>
    <w:rsid w:val="00DF54A0"/>
    <w:rsid w:val="00DF559E"/>
    <w:rsid w:val="00DF562C"/>
    <w:rsid w:val="00DF57C0"/>
    <w:rsid w:val="00DF582E"/>
    <w:rsid w:val="00DF5B36"/>
    <w:rsid w:val="00DF5DC4"/>
    <w:rsid w:val="00DF615C"/>
    <w:rsid w:val="00DF61EE"/>
    <w:rsid w:val="00DF6601"/>
    <w:rsid w:val="00DF6613"/>
    <w:rsid w:val="00DF6960"/>
    <w:rsid w:val="00DF7277"/>
    <w:rsid w:val="00DF7927"/>
    <w:rsid w:val="00DF7D25"/>
    <w:rsid w:val="00DF7D4A"/>
    <w:rsid w:val="00E00001"/>
    <w:rsid w:val="00E0002A"/>
    <w:rsid w:val="00E007D0"/>
    <w:rsid w:val="00E00AD2"/>
    <w:rsid w:val="00E00CF3"/>
    <w:rsid w:val="00E01015"/>
    <w:rsid w:val="00E015B9"/>
    <w:rsid w:val="00E01ED5"/>
    <w:rsid w:val="00E021AE"/>
    <w:rsid w:val="00E0230F"/>
    <w:rsid w:val="00E027B0"/>
    <w:rsid w:val="00E02B4D"/>
    <w:rsid w:val="00E030F2"/>
    <w:rsid w:val="00E03180"/>
    <w:rsid w:val="00E032DD"/>
    <w:rsid w:val="00E03502"/>
    <w:rsid w:val="00E0366E"/>
    <w:rsid w:val="00E03E4C"/>
    <w:rsid w:val="00E0459B"/>
    <w:rsid w:val="00E04C7F"/>
    <w:rsid w:val="00E05A96"/>
    <w:rsid w:val="00E05EDD"/>
    <w:rsid w:val="00E06340"/>
    <w:rsid w:val="00E0665F"/>
    <w:rsid w:val="00E06A31"/>
    <w:rsid w:val="00E06AD5"/>
    <w:rsid w:val="00E06BEA"/>
    <w:rsid w:val="00E0760C"/>
    <w:rsid w:val="00E079BA"/>
    <w:rsid w:val="00E07A89"/>
    <w:rsid w:val="00E07AA8"/>
    <w:rsid w:val="00E10603"/>
    <w:rsid w:val="00E10932"/>
    <w:rsid w:val="00E10AB8"/>
    <w:rsid w:val="00E10B7F"/>
    <w:rsid w:val="00E10D50"/>
    <w:rsid w:val="00E1136C"/>
    <w:rsid w:val="00E1187E"/>
    <w:rsid w:val="00E120BC"/>
    <w:rsid w:val="00E12344"/>
    <w:rsid w:val="00E12357"/>
    <w:rsid w:val="00E127B7"/>
    <w:rsid w:val="00E12CB8"/>
    <w:rsid w:val="00E12CE4"/>
    <w:rsid w:val="00E12D66"/>
    <w:rsid w:val="00E13082"/>
    <w:rsid w:val="00E13620"/>
    <w:rsid w:val="00E13873"/>
    <w:rsid w:val="00E1490F"/>
    <w:rsid w:val="00E15325"/>
    <w:rsid w:val="00E158C8"/>
    <w:rsid w:val="00E158D1"/>
    <w:rsid w:val="00E15D67"/>
    <w:rsid w:val="00E16565"/>
    <w:rsid w:val="00E16847"/>
    <w:rsid w:val="00E16991"/>
    <w:rsid w:val="00E169BF"/>
    <w:rsid w:val="00E16B06"/>
    <w:rsid w:val="00E16F4C"/>
    <w:rsid w:val="00E171BE"/>
    <w:rsid w:val="00E176E3"/>
    <w:rsid w:val="00E17EA7"/>
    <w:rsid w:val="00E200E0"/>
    <w:rsid w:val="00E2034A"/>
    <w:rsid w:val="00E20452"/>
    <w:rsid w:val="00E20491"/>
    <w:rsid w:val="00E20524"/>
    <w:rsid w:val="00E2055F"/>
    <w:rsid w:val="00E207F6"/>
    <w:rsid w:val="00E2084B"/>
    <w:rsid w:val="00E20CD6"/>
    <w:rsid w:val="00E2130C"/>
    <w:rsid w:val="00E216C4"/>
    <w:rsid w:val="00E218A3"/>
    <w:rsid w:val="00E219C5"/>
    <w:rsid w:val="00E225BA"/>
    <w:rsid w:val="00E22CA2"/>
    <w:rsid w:val="00E22CB7"/>
    <w:rsid w:val="00E22D4B"/>
    <w:rsid w:val="00E2382F"/>
    <w:rsid w:val="00E23A88"/>
    <w:rsid w:val="00E24371"/>
    <w:rsid w:val="00E243BE"/>
    <w:rsid w:val="00E2446B"/>
    <w:rsid w:val="00E244F5"/>
    <w:rsid w:val="00E25AD3"/>
    <w:rsid w:val="00E25C67"/>
    <w:rsid w:val="00E25C7A"/>
    <w:rsid w:val="00E25D18"/>
    <w:rsid w:val="00E25FDC"/>
    <w:rsid w:val="00E25FE5"/>
    <w:rsid w:val="00E267C2"/>
    <w:rsid w:val="00E26F68"/>
    <w:rsid w:val="00E27033"/>
    <w:rsid w:val="00E270DE"/>
    <w:rsid w:val="00E27497"/>
    <w:rsid w:val="00E274AC"/>
    <w:rsid w:val="00E2775C"/>
    <w:rsid w:val="00E278E3"/>
    <w:rsid w:val="00E27926"/>
    <w:rsid w:val="00E27FD7"/>
    <w:rsid w:val="00E306D5"/>
    <w:rsid w:val="00E309E7"/>
    <w:rsid w:val="00E30ACD"/>
    <w:rsid w:val="00E30C52"/>
    <w:rsid w:val="00E31920"/>
    <w:rsid w:val="00E319B6"/>
    <w:rsid w:val="00E31B78"/>
    <w:rsid w:val="00E321F9"/>
    <w:rsid w:val="00E3240C"/>
    <w:rsid w:val="00E32438"/>
    <w:rsid w:val="00E329FD"/>
    <w:rsid w:val="00E32A5F"/>
    <w:rsid w:val="00E330F3"/>
    <w:rsid w:val="00E334B1"/>
    <w:rsid w:val="00E34257"/>
    <w:rsid w:val="00E34416"/>
    <w:rsid w:val="00E344C4"/>
    <w:rsid w:val="00E34520"/>
    <w:rsid w:val="00E3479A"/>
    <w:rsid w:val="00E34FCB"/>
    <w:rsid w:val="00E351F1"/>
    <w:rsid w:val="00E353E8"/>
    <w:rsid w:val="00E35432"/>
    <w:rsid w:val="00E3585E"/>
    <w:rsid w:val="00E35ED6"/>
    <w:rsid w:val="00E3653F"/>
    <w:rsid w:val="00E36569"/>
    <w:rsid w:val="00E36685"/>
    <w:rsid w:val="00E366C0"/>
    <w:rsid w:val="00E3671A"/>
    <w:rsid w:val="00E36DAB"/>
    <w:rsid w:val="00E3764D"/>
    <w:rsid w:val="00E379B8"/>
    <w:rsid w:val="00E37D51"/>
    <w:rsid w:val="00E37D8B"/>
    <w:rsid w:val="00E401A0"/>
    <w:rsid w:val="00E40785"/>
    <w:rsid w:val="00E40E0C"/>
    <w:rsid w:val="00E40E8F"/>
    <w:rsid w:val="00E415A3"/>
    <w:rsid w:val="00E4177B"/>
    <w:rsid w:val="00E417E7"/>
    <w:rsid w:val="00E41D07"/>
    <w:rsid w:val="00E4223D"/>
    <w:rsid w:val="00E422C1"/>
    <w:rsid w:val="00E4253E"/>
    <w:rsid w:val="00E42589"/>
    <w:rsid w:val="00E42785"/>
    <w:rsid w:val="00E428FB"/>
    <w:rsid w:val="00E42F86"/>
    <w:rsid w:val="00E42F92"/>
    <w:rsid w:val="00E43425"/>
    <w:rsid w:val="00E43786"/>
    <w:rsid w:val="00E44A98"/>
    <w:rsid w:val="00E44C7B"/>
    <w:rsid w:val="00E45641"/>
    <w:rsid w:val="00E4580C"/>
    <w:rsid w:val="00E45ADB"/>
    <w:rsid w:val="00E45CAA"/>
    <w:rsid w:val="00E45F0E"/>
    <w:rsid w:val="00E46468"/>
    <w:rsid w:val="00E466DD"/>
    <w:rsid w:val="00E46DC1"/>
    <w:rsid w:val="00E472BB"/>
    <w:rsid w:val="00E47383"/>
    <w:rsid w:val="00E47819"/>
    <w:rsid w:val="00E47A67"/>
    <w:rsid w:val="00E50A5D"/>
    <w:rsid w:val="00E50D70"/>
    <w:rsid w:val="00E51172"/>
    <w:rsid w:val="00E5151E"/>
    <w:rsid w:val="00E51782"/>
    <w:rsid w:val="00E52095"/>
    <w:rsid w:val="00E520B9"/>
    <w:rsid w:val="00E52588"/>
    <w:rsid w:val="00E528D0"/>
    <w:rsid w:val="00E52B21"/>
    <w:rsid w:val="00E52B79"/>
    <w:rsid w:val="00E52C5F"/>
    <w:rsid w:val="00E5313D"/>
    <w:rsid w:val="00E53989"/>
    <w:rsid w:val="00E53C68"/>
    <w:rsid w:val="00E5446B"/>
    <w:rsid w:val="00E54977"/>
    <w:rsid w:val="00E54F26"/>
    <w:rsid w:val="00E54F35"/>
    <w:rsid w:val="00E55330"/>
    <w:rsid w:val="00E556B0"/>
    <w:rsid w:val="00E558D2"/>
    <w:rsid w:val="00E56351"/>
    <w:rsid w:val="00E563B5"/>
    <w:rsid w:val="00E564ED"/>
    <w:rsid w:val="00E56A27"/>
    <w:rsid w:val="00E56CB3"/>
    <w:rsid w:val="00E57C4D"/>
    <w:rsid w:val="00E6023F"/>
    <w:rsid w:val="00E6103B"/>
    <w:rsid w:val="00E610F4"/>
    <w:rsid w:val="00E612C8"/>
    <w:rsid w:val="00E6134C"/>
    <w:rsid w:val="00E6157F"/>
    <w:rsid w:val="00E61BA8"/>
    <w:rsid w:val="00E62151"/>
    <w:rsid w:val="00E62361"/>
    <w:rsid w:val="00E629E5"/>
    <w:rsid w:val="00E62B1F"/>
    <w:rsid w:val="00E63320"/>
    <w:rsid w:val="00E63B57"/>
    <w:rsid w:val="00E63BDF"/>
    <w:rsid w:val="00E6426C"/>
    <w:rsid w:val="00E64789"/>
    <w:rsid w:val="00E64A5B"/>
    <w:rsid w:val="00E6525A"/>
    <w:rsid w:val="00E653D9"/>
    <w:rsid w:val="00E659D7"/>
    <w:rsid w:val="00E65ED5"/>
    <w:rsid w:val="00E66845"/>
    <w:rsid w:val="00E668E9"/>
    <w:rsid w:val="00E66C9A"/>
    <w:rsid w:val="00E67122"/>
    <w:rsid w:val="00E67355"/>
    <w:rsid w:val="00E67490"/>
    <w:rsid w:val="00E67C59"/>
    <w:rsid w:val="00E67FAE"/>
    <w:rsid w:val="00E71140"/>
    <w:rsid w:val="00E71A28"/>
    <w:rsid w:val="00E71BC5"/>
    <w:rsid w:val="00E71C4B"/>
    <w:rsid w:val="00E72040"/>
    <w:rsid w:val="00E721D3"/>
    <w:rsid w:val="00E72254"/>
    <w:rsid w:val="00E72BBF"/>
    <w:rsid w:val="00E73113"/>
    <w:rsid w:val="00E736CA"/>
    <w:rsid w:val="00E7395E"/>
    <w:rsid w:val="00E73D5E"/>
    <w:rsid w:val="00E7452A"/>
    <w:rsid w:val="00E74866"/>
    <w:rsid w:val="00E74DA6"/>
    <w:rsid w:val="00E75938"/>
    <w:rsid w:val="00E75AD7"/>
    <w:rsid w:val="00E75B4A"/>
    <w:rsid w:val="00E75C4C"/>
    <w:rsid w:val="00E76521"/>
    <w:rsid w:val="00E767D8"/>
    <w:rsid w:val="00E769F5"/>
    <w:rsid w:val="00E76CB6"/>
    <w:rsid w:val="00E76FFF"/>
    <w:rsid w:val="00E77165"/>
    <w:rsid w:val="00E77441"/>
    <w:rsid w:val="00E7794F"/>
    <w:rsid w:val="00E77C2C"/>
    <w:rsid w:val="00E80DF7"/>
    <w:rsid w:val="00E81016"/>
    <w:rsid w:val="00E81D44"/>
    <w:rsid w:val="00E8214D"/>
    <w:rsid w:val="00E8261A"/>
    <w:rsid w:val="00E82984"/>
    <w:rsid w:val="00E83032"/>
    <w:rsid w:val="00E83083"/>
    <w:rsid w:val="00E83279"/>
    <w:rsid w:val="00E83499"/>
    <w:rsid w:val="00E836F5"/>
    <w:rsid w:val="00E838EA"/>
    <w:rsid w:val="00E83DDA"/>
    <w:rsid w:val="00E843E8"/>
    <w:rsid w:val="00E846CC"/>
    <w:rsid w:val="00E84B4F"/>
    <w:rsid w:val="00E84E84"/>
    <w:rsid w:val="00E84F8A"/>
    <w:rsid w:val="00E85C58"/>
    <w:rsid w:val="00E85ED5"/>
    <w:rsid w:val="00E8601D"/>
    <w:rsid w:val="00E86395"/>
    <w:rsid w:val="00E86A7E"/>
    <w:rsid w:val="00E86CB6"/>
    <w:rsid w:val="00E86D89"/>
    <w:rsid w:val="00E8723E"/>
    <w:rsid w:val="00E87CB4"/>
    <w:rsid w:val="00E87D43"/>
    <w:rsid w:val="00E87D73"/>
    <w:rsid w:val="00E9002A"/>
    <w:rsid w:val="00E9038B"/>
    <w:rsid w:val="00E90597"/>
    <w:rsid w:val="00E90690"/>
    <w:rsid w:val="00E90AF5"/>
    <w:rsid w:val="00E90B1C"/>
    <w:rsid w:val="00E90E3C"/>
    <w:rsid w:val="00E90E9C"/>
    <w:rsid w:val="00E9137C"/>
    <w:rsid w:val="00E9167A"/>
    <w:rsid w:val="00E917EC"/>
    <w:rsid w:val="00E91C23"/>
    <w:rsid w:val="00E933D2"/>
    <w:rsid w:val="00E93668"/>
    <w:rsid w:val="00E9376F"/>
    <w:rsid w:val="00E9429E"/>
    <w:rsid w:val="00E9471A"/>
    <w:rsid w:val="00E94C7D"/>
    <w:rsid w:val="00E9557F"/>
    <w:rsid w:val="00E95FE6"/>
    <w:rsid w:val="00E96273"/>
    <w:rsid w:val="00E96D1A"/>
    <w:rsid w:val="00E974E1"/>
    <w:rsid w:val="00E97846"/>
    <w:rsid w:val="00EA0718"/>
    <w:rsid w:val="00EA0E7D"/>
    <w:rsid w:val="00EA13FD"/>
    <w:rsid w:val="00EA1D46"/>
    <w:rsid w:val="00EA1E06"/>
    <w:rsid w:val="00EA212C"/>
    <w:rsid w:val="00EA215E"/>
    <w:rsid w:val="00EA285C"/>
    <w:rsid w:val="00EA292A"/>
    <w:rsid w:val="00EA2DD1"/>
    <w:rsid w:val="00EA3200"/>
    <w:rsid w:val="00EA322E"/>
    <w:rsid w:val="00EA330A"/>
    <w:rsid w:val="00EA389C"/>
    <w:rsid w:val="00EA3B6C"/>
    <w:rsid w:val="00EA3BD1"/>
    <w:rsid w:val="00EA3D13"/>
    <w:rsid w:val="00EA4186"/>
    <w:rsid w:val="00EA4BD4"/>
    <w:rsid w:val="00EA4DFA"/>
    <w:rsid w:val="00EA4EB1"/>
    <w:rsid w:val="00EA52B8"/>
    <w:rsid w:val="00EA5455"/>
    <w:rsid w:val="00EA55D0"/>
    <w:rsid w:val="00EA5871"/>
    <w:rsid w:val="00EA5A68"/>
    <w:rsid w:val="00EA5AD4"/>
    <w:rsid w:val="00EA61C9"/>
    <w:rsid w:val="00EA6383"/>
    <w:rsid w:val="00EA6B23"/>
    <w:rsid w:val="00EA7303"/>
    <w:rsid w:val="00EA7B64"/>
    <w:rsid w:val="00EA7DFB"/>
    <w:rsid w:val="00EA7F89"/>
    <w:rsid w:val="00EB065A"/>
    <w:rsid w:val="00EB0758"/>
    <w:rsid w:val="00EB08B1"/>
    <w:rsid w:val="00EB12D5"/>
    <w:rsid w:val="00EB1671"/>
    <w:rsid w:val="00EB16A1"/>
    <w:rsid w:val="00EB1C66"/>
    <w:rsid w:val="00EB20BB"/>
    <w:rsid w:val="00EB24DC"/>
    <w:rsid w:val="00EB2A30"/>
    <w:rsid w:val="00EB2BCC"/>
    <w:rsid w:val="00EB2D4E"/>
    <w:rsid w:val="00EB3035"/>
    <w:rsid w:val="00EB3898"/>
    <w:rsid w:val="00EB396F"/>
    <w:rsid w:val="00EB399E"/>
    <w:rsid w:val="00EB3A02"/>
    <w:rsid w:val="00EB3BFB"/>
    <w:rsid w:val="00EB4217"/>
    <w:rsid w:val="00EB4A3A"/>
    <w:rsid w:val="00EB50BF"/>
    <w:rsid w:val="00EB56A8"/>
    <w:rsid w:val="00EB580B"/>
    <w:rsid w:val="00EB5BFE"/>
    <w:rsid w:val="00EB5C7D"/>
    <w:rsid w:val="00EB5CDC"/>
    <w:rsid w:val="00EB5F4F"/>
    <w:rsid w:val="00EB6BD7"/>
    <w:rsid w:val="00EB709D"/>
    <w:rsid w:val="00EB7105"/>
    <w:rsid w:val="00EB74A5"/>
    <w:rsid w:val="00EB755D"/>
    <w:rsid w:val="00EB76C9"/>
    <w:rsid w:val="00EB7709"/>
    <w:rsid w:val="00EB7831"/>
    <w:rsid w:val="00EB7935"/>
    <w:rsid w:val="00EB7B6E"/>
    <w:rsid w:val="00EB7C43"/>
    <w:rsid w:val="00EC0139"/>
    <w:rsid w:val="00EC0228"/>
    <w:rsid w:val="00EC058C"/>
    <w:rsid w:val="00EC0986"/>
    <w:rsid w:val="00EC0DF7"/>
    <w:rsid w:val="00EC121C"/>
    <w:rsid w:val="00EC128C"/>
    <w:rsid w:val="00EC13B9"/>
    <w:rsid w:val="00EC1DA2"/>
    <w:rsid w:val="00EC22F7"/>
    <w:rsid w:val="00EC3196"/>
    <w:rsid w:val="00EC3323"/>
    <w:rsid w:val="00EC3339"/>
    <w:rsid w:val="00EC3350"/>
    <w:rsid w:val="00EC3385"/>
    <w:rsid w:val="00EC34AC"/>
    <w:rsid w:val="00EC38E2"/>
    <w:rsid w:val="00EC3A81"/>
    <w:rsid w:val="00EC4022"/>
    <w:rsid w:val="00EC48DD"/>
    <w:rsid w:val="00EC4D29"/>
    <w:rsid w:val="00EC4DB7"/>
    <w:rsid w:val="00EC548D"/>
    <w:rsid w:val="00EC56F3"/>
    <w:rsid w:val="00EC5B78"/>
    <w:rsid w:val="00EC5B9F"/>
    <w:rsid w:val="00EC5D4B"/>
    <w:rsid w:val="00EC612D"/>
    <w:rsid w:val="00EC67FB"/>
    <w:rsid w:val="00EC682C"/>
    <w:rsid w:val="00EC6887"/>
    <w:rsid w:val="00EC6DAA"/>
    <w:rsid w:val="00EC7418"/>
    <w:rsid w:val="00EC773F"/>
    <w:rsid w:val="00EC7B7F"/>
    <w:rsid w:val="00EC7D3B"/>
    <w:rsid w:val="00EC7D69"/>
    <w:rsid w:val="00EC7F8C"/>
    <w:rsid w:val="00ED0483"/>
    <w:rsid w:val="00ED0C2D"/>
    <w:rsid w:val="00ED101F"/>
    <w:rsid w:val="00ED10F1"/>
    <w:rsid w:val="00ED1375"/>
    <w:rsid w:val="00ED1867"/>
    <w:rsid w:val="00ED1D8A"/>
    <w:rsid w:val="00ED20A7"/>
    <w:rsid w:val="00ED23A0"/>
    <w:rsid w:val="00ED27A9"/>
    <w:rsid w:val="00ED3164"/>
    <w:rsid w:val="00ED3174"/>
    <w:rsid w:val="00ED42B2"/>
    <w:rsid w:val="00ED497C"/>
    <w:rsid w:val="00ED4D81"/>
    <w:rsid w:val="00ED5D2F"/>
    <w:rsid w:val="00ED5D72"/>
    <w:rsid w:val="00ED618A"/>
    <w:rsid w:val="00ED6669"/>
    <w:rsid w:val="00ED6730"/>
    <w:rsid w:val="00ED6A01"/>
    <w:rsid w:val="00ED7051"/>
    <w:rsid w:val="00ED756F"/>
    <w:rsid w:val="00ED779E"/>
    <w:rsid w:val="00ED7B26"/>
    <w:rsid w:val="00EE0527"/>
    <w:rsid w:val="00EE0529"/>
    <w:rsid w:val="00EE0978"/>
    <w:rsid w:val="00EE0BA8"/>
    <w:rsid w:val="00EE0E74"/>
    <w:rsid w:val="00EE0E83"/>
    <w:rsid w:val="00EE0F5B"/>
    <w:rsid w:val="00EE100B"/>
    <w:rsid w:val="00EE128A"/>
    <w:rsid w:val="00EE1975"/>
    <w:rsid w:val="00EE1B21"/>
    <w:rsid w:val="00EE1BD7"/>
    <w:rsid w:val="00EE209D"/>
    <w:rsid w:val="00EE2D84"/>
    <w:rsid w:val="00EE32B9"/>
    <w:rsid w:val="00EE38AD"/>
    <w:rsid w:val="00EE3B88"/>
    <w:rsid w:val="00EE3CA0"/>
    <w:rsid w:val="00EE4464"/>
    <w:rsid w:val="00EE4880"/>
    <w:rsid w:val="00EE4C11"/>
    <w:rsid w:val="00EE5499"/>
    <w:rsid w:val="00EE5A59"/>
    <w:rsid w:val="00EE5CC5"/>
    <w:rsid w:val="00EE5CC8"/>
    <w:rsid w:val="00EE5D44"/>
    <w:rsid w:val="00EE5D92"/>
    <w:rsid w:val="00EE610B"/>
    <w:rsid w:val="00EE6248"/>
    <w:rsid w:val="00EE681E"/>
    <w:rsid w:val="00EE69A0"/>
    <w:rsid w:val="00EE6A07"/>
    <w:rsid w:val="00EE6D7C"/>
    <w:rsid w:val="00EE6E93"/>
    <w:rsid w:val="00EE714C"/>
    <w:rsid w:val="00EE730E"/>
    <w:rsid w:val="00EE760C"/>
    <w:rsid w:val="00EE7962"/>
    <w:rsid w:val="00EF025D"/>
    <w:rsid w:val="00EF03CD"/>
    <w:rsid w:val="00EF0E6F"/>
    <w:rsid w:val="00EF1387"/>
    <w:rsid w:val="00EF13C0"/>
    <w:rsid w:val="00EF13D6"/>
    <w:rsid w:val="00EF1F52"/>
    <w:rsid w:val="00EF215B"/>
    <w:rsid w:val="00EF2177"/>
    <w:rsid w:val="00EF245D"/>
    <w:rsid w:val="00EF2BDA"/>
    <w:rsid w:val="00EF2CF1"/>
    <w:rsid w:val="00EF2D39"/>
    <w:rsid w:val="00EF304B"/>
    <w:rsid w:val="00EF3473"/>
    <w:rsid w:val="00EF48E1"/>
    <w:rsid w:val="00EF4F0A"/>
    <w:rsid w:val="00EF557A"/>
    <w:rsid w:val="00EF56A4"/>
    <w:rsid w:val="00EF5727"/>
    <w:rsid w:val="00EF5B3F"/>
    <w:rsid w:val="00EF64F5"/>
    <w:rsid w:val="00EF667E"/>
    <w:rsid w:val="00EF67F0"/>
    <w:rsid w:val="00EF6AA9"/>
    <w:rsid w:val="00EF7240"/>
    <w:rsid w:val="00EF7B62"/>
    <w:rsid w:val="00EF7CF1"/>
    <w:rsid w:val="00EF7D3F"/>
    <w:rsid w:val="00F00201"/>
    <w:rsid w:val="00F00495"/>
    <w:rsid w:val="00F00679"/>
    <w:rsid w:val="00F007E9"/>
    <w:rsid w:val="00F01410"/>
    <w:rsid w:val="00F01524"/>
    <w:rsid w:val="00F01E4D"/>
    <w:rsid w:val="00F02A93"/>
    <w:rsid w:val="00F02C52"/>
    <w:rsid w:val="00F02CEF"/>
    <w:rsid w:val="00F02F12"/>
    <w:rsid w:val="00F0323F"/>
    <w:rsid w:val="00F0334C"/>
    <w:rsid w:val="00F0352F"/>
    <w:rsid w:val="00F03D07"/>
    <w:rsid w:val="00F04010"/>
    <w:rsid w:val="00F042E5"/>
    <w:rsid w:val="00F04BDC"/>
    <w:rsid w:val="00F04EA5"/>
    <w:rsid w:val="00F04F6C"/>
    <w:rsid w:val="00F05848"/>
    <w:rsid w:val="00F0596B"/>
    <w:rsid w:val="00F05BD7"/>
    <w:rsid w:val="00F0675A"/>
    <w:rsid w:val="00F07233"/>
    <w:rsid w:val="00F07549"/>
    <w:rsid w:val="00F07799"/>
    <w:rsid w:val="00F07BD8"/>
    <w:rsid w:val="00F07C8D"/>
    <w:rsid w:val="00F1090C"/>
    <w:rsid w:val="00F10E3D"/>
    <w:rsid w:val="00F112DE"/>
    <w:rsid w:val="00F11372"/>
    <w:rsid w:val="00F11D5F"/>
    <w:rsid w:val="00F125B5"/>
    <w:rsid w:val="00F1260E"/>
    <w:rsid w:val="00F1276E"/>
    <w:rsid w:val="00F129A5"/>
    <w:rsid w:val="00F129F7"/>
    <w:rsid w:val="00F1329F"/>
    <w:rsid w:val="00F13C5E"/>
    <w:rsid w:val="00F145F0"/>
    <w:rsid w:val="00F14A3D"/>
    <w:rsid w:val="00F1565A"/>
    <w:rsid w:val="00F15739"/>
    <w:rsid w:val="00F160AF"/>
    <w:rsid w:val="00F16113"/>
    <w:rsid w:val="00F16BA1"/>
    <w:rsid w:val="00F174A8"/>
    <w:rsid w:val="00F202AA"/>
    <w:rsid w:val="00F211EE"/>
    <w:rsid w:val="00F2140C"/>
    <w:rsid w:val="00F2152E"/>
    <w:rsid w:val="00F21A58"/>
    <w:rsid w:val="00F21C43"/>
    <w:rsid w:val="00F21ED9"/>
    <w:rsid w:val="00F222E7"/>
    <w:rsid w:val="00F2240C"/>
    <w:rsid w:val="00F224A1"/>
    <w:rsid w:val="00F23604"/>
    <w:rsid w:val="00F236CB"/>
    <w:rsid w:val="00F24516"/>
    <w:rsid w:val="00F246C9"/>
    <w:rsid w:val="00F24C55"/>
    <w:rsid w:val="00F24E1B"/>
    <w:rsid w:val="00F256A1"/>
    <w:rsid w:val="00F25761"/>
    <w:rsid w:val="00F264B1"/>
    <w:rsid w:val="00F26804"/>
    <w:rsid w:val="00F26B20"/>
    <w:rsid w:val="00F26B63"/>
    <w:rsid w:val="00F26C74"/>
    <w:rsid w:val="00F27061"/>
    <w:rsid w:val="00F27C25"/>
    <w:rsid w:val="00F306A2"/>
    <w:rsid w:val="00F306E3"/>
    <w:rsid w:val="00F30B45"/>
    <w:rsid w:val="00F30C07"/>
    <w:rsid w:val="00F31018"/>
    <w:rsid w:val="00F31D69"/>
    <w:rsid w:val="00F31F40"/>
    <w:rsid w:val="00F32C23"/>
    <w:rsid w:val="00F32E80"/>
    <w:rsid w:val="00F33275"/>
    <w:rsid w:val="00F33CC8"/>
    <w:rsid w:val="00F340C7"/>
    <w:rsid w:val="00F34ADC"/>
    <w:rsid w:val="00F34BBC"/>
    <w:rsid w:val="00F34F52"/>
    <w:rsid w:val="00F353DA"/>
    <w:rsid w:val="00F35542"/>
    <w:rsid w:val="00F35A49"/>
    <w:rsid w:val="00F35C12"/>
    <w:rsid w:val="00F35CF9"/>
    <w:rsid w:val="00F36059"/>
    <w:rsid w:val="00F36379"/>
    <w:rsid w:val="00F363B7"/>
    <w:rsid w:val="00F3646E"/>
    <w:rsid w:val="00F3664D"/>
    <w:rsid w:val="00F36826"/>
    <w:rsid w:val="00F36943"/>
    <w:rsid w:val="00F37047"/>
    <w:rsid w:val="00F37315"/>
    <w:rsid w:val="00F377A7"/>
    <w:rsid w:val="00F37BBE"/>
    <w:rsid w:val="00F37DEE"/>
    <w:rsid w:val="00F37E5A"/>
    <w:rsid w:val="00F4018A"/>
    <w:rsid w:val="00F40692"/>
    <w:rsid w:val="00F4070A"/>
    <w:rsid w:val="00F4098C"/>
    <w:rsid w:val="00F409A8"/>
    <w:rsid w:val="00F40BD4"/>
    <w:rsid w:val="00F40E0A"/>
    <w:rsid w:val="00F41DA5"/>
    <w:rsid w:val="00F41DD7"/>
    <w:rsid w:val="00F4236C"/>
    <w:rsid w:val="00F42505"/>
    <w:rsid w:val="00F42AD1"/>
    <w:rsid w:val="00F43219"/>
    <w:rsid w:val="00F4322E"/>
    <w:rsid w:val="00F4333F"/>
    <w:rsid w:val="00F4351C"/>
    <w:rsid w:val="00F43751"/>
    <w:rsid w:val="00F4399F"/>
    <w:rsid w:val="00F43B0D"/>
    <w:rsid w:val="00F44688"/>
    <w:rsid w:val="00F44699"/>
    <w:rsid w:val="00F448E2"/>
    <w:rsid w:val="00F44AC9"/>
    <w:rsid w:val="00F44AD8"/>
    <w:rsid w:val="00F45645"/>
    <w:rsid w:val="00F45B75"/>
    <w:rsid w:val="00F45D6E"/>
    <w:rsid w:val="00F45F2F"/>
    <w:rsid w:val="00F46309"/>
    <w:rsid w:val="00F465BE"/>
    <w:rsid w:val="00F4674A"/>
    <w:rsid w:val="00F468CE"/>
    <w:rsid w:val="00F46AA8"/>
    <w:rsid w:val="00F46DD1"/>
    <w:rsid w:val="00F46EFB"/>
    <w:rsid w:val="00F47C41"/>
    <w:rsid w:val="00F5017F"/>
    <w:rsid w:val="00F5060B"/>
    <w:rsid w:val="00F50D4F"/>
    <w:rsid w:val="00F50E7D"/>
    <w:rsid w:val="00F51097"/>
    <w:rsid w:val="00F51BD4"/>
    <w:rsid w:val="00F51F16"/>
    <w:rsid w:val="00F526E5"/>
    <w:rsid w:val="00F5274F"/>
    <w:rsid w:val="00F53040"/>
    <w:rsid w:val="00F53DBB"/>
    <w:rsid w:val="00F53E1B"/>
    <w:rsid w:val="00F53EE0"/>
    <w:rsid w:val="00F5422C"/>
    <w:rsid w:val="00F542F1"/>
    <w:rsid w:val="00F549A5"/>
    <w:rsid w:val="00F54C16"/>
    <w:rsid w:val="00F55B6F"/>
    <w:rsid w:val="00F56122"/>
    <w:rsid w:val="00F562D0"/>
    <w:rsid w:val="00F56481"/>
    <w:rsid w:val="00F56B08"/>
    <w:rsid w:val="00F56B0C"/>
    <w:rsid w:val="00F56B76"/>
    <w:rsid w:val="00F56BFF"/>
    <w:rsid w:val="00F56D1F"/>
    <w:rsid w:val="00F56DCA"/>
    <w:rsid w:val="00F56F1C"/>
    <w:rsid w:val="00F5730F"/>
    <w:rsid w:val="00F5750B"/>
    <w:rsid w:val="00F575EA"/>
    <w:rsid w:val="00F57815"/>
    <w:rsid w:val="00F57C5C"/>
    <w:rsid w:val="00F57CF9"/>
    <w:rsid w:val="00F60800"/>
    <w:rsid w:val="00F60AB3"/>
    <w:rsid w:val="00F60B1E"/>
    <w:rsid w:val="00F60B61"/>
    <w:rsid w:val="00F60F39"/>
    <w:rsid w:val="00F61086"/>
    <w:rsid w:val="00F612D8"/>
    <w:rsid w:val="00F612E6"/>
    <w:rsid w:val="00F613B4"/>
    <w:rsid w:val="00F614AB"/>
    <w:rsid w:val="00F615B5"/>
    <w:rsid w:val="00F61D35"/>
    <w:rsid w:val="00F6200B"/>
    <w:rsid w:val="00F627B0"/>
    <w:rsid w:val="00F62A7C"/>
    <w:rsid w:val="00F62AC8"/>
    <w:rsid w:val="00F62AEE"/>
    <w:rsid w:val="00F62CA4"/>
    <w:rsid w:val="00F62D74"/>
    <w:rsid w:val="00F62EC7"/>
    <w:rsid w:val="00F6381A"/>
    <w:rsid w:val="00F63FF9"/>
    <w:rsid w:val="00F642D7"/>
    <w:rsid w:val="00F64346"/>
    <w:rsid w:val="00F643C8"/>
    <w:rsid w:val="00F644D1"/>
    <w:rsid w:val="00F64525"/>
    <w:rsid w:val="00F646C4"/>
    <w:rsid w:val="00F6484A"/>
    <w:rsid w:val="00F649FE"/>
    <w:rsid w:val="00F64C2E"/>
    <w:rsid w:val="00F6513F"/>
    <w:rsid w:val="00F65640"/>
    <w:rsid w:val="00F65806"/>
    <w:rsid w:val="00F6590B"/>
    <w:rsid w:val="00F659CF"/>
    <w:rsid w:val="00F65A52"/>
    <w:rsid w:val="00F65A98"/>
    <w:rsid w:val="00F66270"/>
    <w:rsid w:val="00F67291"/>
    <w:rsid w:val="00F673DC"/>
    <w:rsid w:val="00F676BA"/>
    <w:rsid w:val="00F6783D"/>
    <w:rsid w:val="00F67975"/>
    <w:rsid w:val="00F67B77"/>
    <w:rsid w:val="00F70018"/>
    <w:rsid w:val="00F70AA8"/>
    <w:rsid w:val="00F71808"/>
    <w:rsid w:val="00F71964"/>
    <w:rsid w:val="00F71A56"/>
    <w:rsid w:val="00F72445"/>
    <w:rsid w:val="00F72976"/>
    <w:rsid w:val="00F72A3F"/>
    <w:rsid w:val="00F72B53"/>
    <w:rsid w:val="00F72CD8"/>
    <w:rsid w:val="00F73584"/>
    <w:rsid w:val="00F73AE6"/>
    <w:rsid w:val="00F74615"/>
    <w:rsid w:val="00F74B15"/>
    <w:rsid w:val="00F750B9"/>
    <w:rsid w:val="00F750DF"/>
    <w:rsid w:val="00F752D8"/>
    <w:rsid w:val="00F75D7B"/>
    <w:rsid w:val="00F76098"/>
    <w:rsid w:val="00F76432"/>
    <w:rsid w:val="00F764BC"/>
    <w:rsid w:val="00F765CF"/>
    <w:rsid w:val="00F7691B"/>
    <w:rsid w:val="00F76BD6"/>
    <w:rsid w:val="00F76BE2"/>
    <w:rsid w:val="00F772C6"/>
    <w:rsid w:val="00F777D4"/>
    <w:rsid w:val="00F77820"/>
    <w:rsid w:val="00F7788A"/>
    <w:rsid w:val="00F80399"/>
    <w:rsid w:val="00F804BB"/>
    <w:rsid w:val="00F804E7"/>
    <w:rsid w:val="00F8076D"/>
    <w:rsid w:val="00F80BEA"/>
    <w:rsid w:val="00F81187"/>
    <w:rsid w:val="00F81563"/>
    <w:rsid w:val="00F8178D"/>
    <w:rsid w:val="00F817BD"/>
    <w:rsid w:val="00F8195A"/>
    <w:rsid w:val="00F81AA6"/>
    <w:rsid w:val="00F81F70"/>
    <w:rsid w:val="00F81FDD"/>
    <w:rsid w:val="00F8221D"/>
    <w:rsid w:val="00F822DB"/>
    <w:rsid w:val="00F82448"/>
    <w:rsid w:val="00F832CF"/>
    <w:rsid w:val="00F83A58"/>
    <w:rsid w:val="00F83DDF"/>
    <w:rsid w:val="00F84146"/>
    <w:rsid w:val="00F84247"/>
    <w:rsid w:val="00F85283"/>
    <w:rsid w:val="00F85327"/>
    <w:rsid w:val="00F85475"/>
    <w:rsid w:val="00F856A6"/>
    <w:rsid w:val="00F85A51"/>
    <w:rsid w:val="00F8672E"/>
    <w:rsid w:val="00F868AD"/>
    <w:rsid w:val="00F86946"/>
    <w:rsid w:val="00F86C0B"/>
    <w:rsid w:val="00F87732"/>
    <w:rsid w:val="00F87A86"/>
    <w:rsid w:val="00F87F5A"/>
    <w:rsid w:val="00F87FBC"/>
    <w:rsid w:val="00F904F8"/>
    <w:rsid w:val="00F908AF"/>
    <w:rsid w:val="00F910AE"/>
    <w:rsid w:val="00F9142D"/>
    <w:rsid w:val="00F91568"/>
    <w:rsid w:val="00F91B38"/>
    <w:rsid w:val="00F91D47"/>
    <w:rsid w:val="00F92179"/>
    <w:rsid w:val="00F932C2"/>
    <w:rsid w:val="00F9355A"/>
    <w:rsid w:val="00F93A8D"/>
    <w:rsid w:val="00F93D3D"/>
    <w:rsid w:val="00F94015"/>
    <w:rsid w:val="00F94076"/>
    <w:rsid w:val="00F940A8"/>
    <w:rsid w:val="00F941CE"/>
    <w:rsid w:val="00F941DD"/>
    <w:rsid w:val="00F94235"/>
    <w:rsid w:val="00F9476C"/>
    <w:rsid w:val="00F947A0"/>
    <w:rsid w:val="00F9487A"/>
    <w:rsid w:val="00F95063"/>
    <w:rsid w:val="00F95193"/>
    <w:rsid w:val="00F954F3"/>
    <w:rsid w:val="00F955B6"/>
    <w:rsid w:val="00F95DCD"/>
    <w:rsid w:val="00F96049"/>
    <w:rsid w:val="00F960C9"/>
    <w:rsid w:val="00F96238"/>
    <w:rsid w:val="00F968F1"/>
    <w:rsid w:val="00F96A83"/>
    <w:rsid w:val="00F975C6"/>
    <w:rsid w:val="00F97862"/>
    <w:rsid w:val="00F97BCB"/>
    <w:rsid w:val="00FA0186"/>
    <w:rsid w:val="00FA0A66"/>
    <w:rsid w:val="00FA0B5B"/>
    <w:rsid w:val="00FA0D3B"/>
    <w:rsid w:val="00FA0DA2"/>
    <w:rsid w:val="00FA0DBD"/>
    <w:rsid w:val="00FA0E52"/>
    <w:rsid w:val="00FA0F3A"/>
    <w:rsid w:val="00FA1872"/>
    <w:rsid w:val="00FA1E3E"/>
    <w:rsid w:val="00FA2245"/>
    <w:rsid w:val="00FA29E6"/>
    <w:rsid w:val="00FA2CE6"/>
    <w:rsid w:val="00FA3036"/>
    <w:rsid w:val="00FA33A9"/>
    <w:rsid w:val="00FA3737"/>
    <w:rsid w:val="00FA37E0"/>
    <w:rsid w:val="00FA3FFF"/>
    <w:rsid w:val="00FA4842"/>
    <w:rsid w:val="00FA497F"/>
    <w:rsid w:val="00FA4C4F"/>
    <w:rsid w:val="00FA4D2D"/>
    <w:rsid w:val="00FA51DF"/>
    <w:rsid w:val="00FA53E7"/>
    <w:rsid w:val="00FA5B47"/>
    <w:rsid w:val="00FA5BFA"/>
    <w:rsid w:val="00FA5CCE"/>
    <w:rsid w:val="00FA5D06"/>
    <w:rsid w:val="00FA6697"/>
    <w:rsid w:val="00FA6E00"/>
    <w:rsid w:val="00FA70C9"/>
    <w:rsid w:val="00FA741C"/>
    <w:rsid w:val="00FA748C"/>
    <w:rsid w:val="00FA78A1"/>
    <w:rsid w:val="00FA79FE"/>
    <w:rsid w:val="00FA7B0A"/>
    <w:rsid w:val="00FA7C97"/>
    <w:rsid w:val="00FB01AB"/>
    <w:rsid w:val="00FB02E9"/>
    <w:rsid w:val="00FB1110"/>
    <w:rsid w:val="00FB211D"/>
    <w:rsid w:val="00FB23FB"/>
    <w:rsid w:val="00FB2565"/>
    <w:rsid w:val="00FB25F7"/>
    <w:rsid w:val="00FB2762"/>
    <w:rsid w:val="00FB2A72"/>
    <w:rsid w:val="00FB2D93"/>
    <w:rsid w:val="00FB3191"/>
    <w:rsid w:val="00FB3319"/>
    <w:rsid w:val="00FB37FB"/>
    <w:rsid w:val="00FB3AC5"/>
    <w:rsid w:val="00FB4150"/>
    <w:rsid w:val="00FB41CF"/>
    <w:rsid w:val="00FB4698"/>
    <w:rsid w:val="00FB4D3C"/>
    <w:rsid w:val="00FB5796"/>
    <w:rsid w:val="00FB5A8F"/>
    <w:rsid w:val="00FB609A"/>
    <w:rsid w:val="00FB62DB"/>
    <w:rsid w:val="00FB6421"/>
    <w:rsid w:val="00FB647A"/>
    <w:rsid w:val="00FB6530"/>
    <w:rsid w:val="00FB6830"/>
    <w:rsid w:val="00FB6B2D"/>
    <w:rsid w:val="00FB6E9C"/>
    <w:rsid w:val="00FB7A64"/>
    <w:rsid w:val="00FB7E56"/>
    <w:rsid w:val="00FC00BF"/>
    <w:rsid w:val="00FC02E4"/>
    <w:rsid w:val="00FC0A13"/>
    <w:rsid w:val="00FC1414"/>
    <w:rsid w:val="00FC1738"/>
    <w:rsid w:val="00FC19AD"/>
    <w:rsid w:val="00FC1C37"/>
    <w:rsid w:val="00FC1E85"/>
    <w:rsid w:val="00FC1FBC"/>
    <w:rsid w:val="00FC2558"/>
    <w:rsid w:val="00FC2793"/>
    <w:rsid w:val="00FC2C65"/>
    <w:rsid w:val="00FC2FF1"/>
    <w:rsid w:val="00FC3880"/>
    <w:rsid w:val="00FC3AEB"/>
    <w:rsid w:val="00FC3EE3"/>
    <w:rsid w:val="00FC40E3"/>
    <w:rsid w:val="00FC418E"/>
    <w:rsid w:val="00FC4359"/>
    <w:rsid w:val="00FC44CC"/>
    <w:rsid w:val="00FC4683"/>
    <w:rsid w:val="00FC47A3"/>
    <w:rsid w:val="00FC4CD0"/>
    <w:rsid w:val="00FC5686"/>
    <w:rsid w:val="00FC5C52"/>
    <w:rsid w:val="00FC5E87"/>
    <w:rsid w:val="00FC5F8C"/>
    <w:rsid w:val="00FC62E2"/>
    <w:rsid w:val="00FC644F"/>
    <w:rsid w:val="00FC67F8"/>
    <w:rsid w:val="00FC6F0D"/>
    <w:rsid w:val="00FC7088"/>
    <w:rsid w:val="00FC71AE"/>
    <w:rsid w:val="00FC7540"/>
    <w:rsid w:val="00FC772D"/>
    <w:rsid w:val="00FC77F8"/>
    <w:rsid w:val="00FC7D4C"/>
    <w:rsid w:val="00FC7D59"/>
    <w:rsid w:val="00FD00B8"/>
    <w:rsid w:val="00FD0905"/>
    <w:rsid w:val="00FD09C9"/>
    <w:rsid w:val="00FD10D2"/>
    <w:rsid w:val="00FD149E"/>
    <w:rsid w:val="00FD158A"/>
    <w:rsid w:val="00FD15E8"/>
    <w:rsid w:val="00FD170B"/>
    <w:rsid w:val="00FD18BA"/>
    <w:rsid w:val="00FD1AEC"/>
    <w:rsid w:val="00FD1B9F"/>
    <w:rsid w:val="00FD1CCB"/>
    <w:rsid w:val="00FD1E31"/>
    <w:rsid w:val="00FD200F"/>
    <w:rsid w:val="00FD2374"/>
    <w:rsid w:val="00FD2375"/>
    <w:rsid w:val="00FD26BE"/>
    <w:rsid w:val="00FD26CF"/>
    <w:rsid w:val="00FD2995"/>
    <w:rsid w:val="00FD2C06"/>
    <w:rsid w:val="00FD3715"/>
    <w:rsid w:val="00FD3D75"/>
    <w:rsid w:val="00FD3DCD"/>
    <w:rsid w:val="00FD457D"/>
    <w:rsid w:val="00FD4722"/>
    <w:rsid w:val="00FD4B29"/>
    <w:rsid w:val="00FD4C92"/>
    <w:rsid w:val="00FD51FE"/>
    <w:rsid w:val="00FD55E4"/>
    <w:rsid w:val="00FD5664"/>
    <w:rsid w:val="00FD58BD"/>
    <w:rsid w:val="00FD5B56"/>
    <w:rsid w:val="00FD5BD3"/>
    <w:rsid w:val="00FD5DE1"/>
    <w:rsid w:val="00FD6006"/>
    <w:rsid w:val="00FD6238"/>
    <w:rsid w:val="00FD6245"/>
    <w:rsid w:val="00FD6485"/>
    <w:rsid w:val="00FD64C0"/>
    <w:rsid w:val="00FD6810"/>
    <w:rsid w:val="00FD6AA3"/>
    <w:rsid w:val="00FD6B1C"/>
    <w:rsid w:val="00FD71A7"/>
    <w:rsid w:val="00FD72DA"/>
    <w:rsid w:val="00FD7369"/>
    <w:rsid w:val="00FD73A7"/>
    <w:rsid w:val="00FD7859"/>
    <w:rsid w:val="00FD7A5F"/>
    <w:rsid w:val="00FE094E"/>
    <w:rsid w:val="00FE095C"/>
    <w:rsid w:val="00FE0AE0"/>
    <w:rsid w:val="00FE0EEF"/>
    <w:rsid w:val="00FE0FC1"/>
    <w:rsid w:val="00FE1930"/>
    <w:rsid w:val="00FE1C6A"/>
    <w:rsid w:val="00FE1D54"/>
    <w:rsid w:val="00FE2573"/>
    <w:rsid w:val="00FE26AD"/>
    <w:rsid w:val="00FE28F7"/>
    <w:rsid w:val="00FE2D5C"/>
    <w:rsid w:val="00FE2F92"/>
    <w:rsid w:val="00FE317F"/>
    <w:rsid w:val="00FE38AE"/>
    <w:rsid w:val="00FE3A74"/>
    <w:rsid w:val="00FE3DC8"/>
    <w:rsid w:val="00FE4314"/>
    <w:rsid w:val="00FE4439"/>
    <w:rsid w:val="00FE468E"/>
    <w:rsid w:val="00FE4858"/>
    <w:rsid w:val="00FE50C5"/>
    <w:rsid w:val="00FE553A"/>
    <w:rsid w:val="00FE6E52"/>
    <w:rsid w:val="00FE729D"/>
    <w:rsid w:val="00FE72FF"/>
    <w:rsid w:val="00FE758A"/>
    <w:rsid w:val="00FE7D9D"/>
    <w:rsid w:val="00FE7FA6"/>
    <w:rsid w:val="00FF00BF"/>
    <w:rsid w:val="00FF0143"/>
    <w:rsid w:val="00FF06B8"/>
    <w:rsid w:val="00FF0857"/>
    <w:rsid w:val="00FF0F86"/>
    <w:rsid w:val="00FF18F3"/>
    <w:rsid w:val="00FF19A8"/>
    <w:rsid w:val="00FF1C17"/>
    <w:rsid w:val="00FF24B1"/>
    <w:rsid w:val="00FF263A"/>
    <w:rsid w:val="00FF2763"/>
    <w:rsid w:val="00FF2BBD"/>
    <w:rsid w:val="00FF2E78"/>
    <w:rsid w:val="00FF2FDD"/>
    <w:rsid w:val="00FF32CB"/>
    <w:rsid w:val="00FF371F"/>
    <w:rsid w:val="00FF3C5A"/>
    <w:rsid w:val="00FF40BB"/>
    <w:rsid w:val="00FF4565"/>
    <w:rsid w:val="00FF4666"/>
    <w:rsid w:val="00FF4722"/>
    <w:rsid w:val="00FF47F3"/>
    <w:rsid w:val="00FF5CA8"/>
    <w:rsid w:val="00FF62E0"/>
    <w:rsid w:val="00FF68B1"/>
    <w:rsid w:val="00FF7146"/>
    <w:rsid w:val="00FF77A1"/>
    <w:rsid w:val="0133364E"/>
    <w:rsid w:val="013982C9"/>
    <w:rsid w:val="017B8187"/>
    <w:rsid w:val="020FA977"/>
    <w:rsid w:val="024F8818"/>
    <w:rsid w:val="03812F53"/>
    <w:rsid w:val="039B3092"/>
    <w:rsid w:val="0403A05F"/>
    <w:rsid w:val="0434B14F"/>
    <w:rsid w:val="048B85BE"/>
    <w:rsid w:val="051AAD30"/>
    <w:rsid w:val="052E5C75"/>
    <w:rsid w:val="0563CF42"/>
    <w:rsid w:val="05652DBC"/>
    <w:rsid w:val="0639CD33"/>
    <w:rsid w:val="06417C55"/>
    <w:rsid w:val="06B133C5"/>
    <w:rsid w:val="06EFFB94"/>
    <w:rsid w:val="071A25DE"/>
    <w:rsid w:val="075E5BF9"/>
    <w:rsid w:val="079126DD"/>
    <w:rsid w:val="07BF1923"/>
    <w:rsid w:val="07C8CD6C"/>
    <w:rsid w:val="07E43BD1"/>
    <w:rsid w:val="0800E773"/>
    <w:rsid w:val="085B2135"/>
    <w:rsid w:val="0863B0B5"/>
    <w:rsid w:val="0937B45B"/>
    <w:rsid w:val="09919840"/>
    <w:rsid w:val="0A12CBB7"/>
    <w:rsid w:val="0A6F73E6"/>
    <w:rsid w:val="0AA82569"/>
    <w:rsid w:val="0AAB86FC"/>
    <w:rsid w:val="0AC33A21"/>
    <w:rsid w:val="0B79F6E2"/>
    <w:rsid w:val="0C3D5DA7"/>
    <w:rsid w:val="0C494A22"/>
    <w:rsid w:val="0C8B3E37"/>
    <w:rsid w:val="0CD32BF1"/>
    <w:rsid w:val="0D3C7B4F"/>
    <w:rsid w:val="0E25366C"/>
    <w:rsid w:val="0FD02553"/>
    <w:rsid w:val="0FD1FD6B"/>
    <w:rsid w:val="107DC0ED"/>
    <w:rsid w:val="1087927B"/>
    <w:rsid w:val="10986B13"/>
    <w:rsid w:val="10B3C42D"/>
    <w:rsid w:val="10C21919"/>
    <w:rsid w:val="111957DD"/>
    <w:rsid w:val="112A4C7A"/>
    <w:rsid w:val="1151BF21"/>
    <w:rsid w:val="119F9966"/>
    <w:rsid w:val="11C852F9"/>
    <w:rsid w:val="12196768"/>
    <w:rsid w:val="12705B59"/>
    <w:rsid w:val="12C6FF49"/>
    <w:rsid w:val="12CC34A7"/>
    <w:rsid w:val="134F0E6A"/>
    <w:rsid w:val="14A2B4A8"/>
    <w:rsid w:val="152877B9"/>
    <w:rsid w:val="158719A8"/>
    <w:rsid w:val="15BF0E10"/>
    <w:rsid w:val="15EF0516"/>
    <w:rsid w:val="1687FD00"/>
    <w:rsid w:val="168F88FB"/>
    <w:rsid w:val="174ACE5C"/>
    <w:rsid w:val="179A1359"/>
    <w:rsid w:val="1828902F"/>
    <w:rsid w:val="1889B12C"/>
    <w:rsid w:val="188C8F7D"/>
    <w:rsid w:val="190C4729"/>
    <w:rsid w:val="19E35CB9"/>
    <w:rsid w:val="19EC4452"/>
    <w:rsid w:val="1A6F9747"/>
    <w:rsid w:val="1AAD7461"/>
    <w:rsid w:val="1B246A06"/>
    <w:rsid w:val="1B513723"/>
    <w:rsid w:val="1B5CDE53"/>
    <w:rsid w:val="1B862352"/>
    <w:rsid w:val="1C785B25"/>
    <w:rsid w:val="1CEC484B"/>
    <w:rsid w:val="1D2F3072"/>
    <w:rsid w:val="1D90FC14"/>
    <w:rsid w:val="1E2D8576"/>
    <w:rsid w:val="1E432B92"/>
    <w:rsid w:val="1F05FCA0"/>
    <w:rsid w:val="1FA34F6C"/>
    <w:rsid w:val="1FC737C1"/>
    <w:rsid w:val="1FCD65F1"/>
    <w:rsid w:val="1FE86411"/>
    <w:rsid w:val="2023BD25"/>
    <w:rsid w:val="2087BD11"/>
    <w:rsid w:val="2098C857"/>
    <w:rsid w:val="2104E7C1"/>
    <w:rsid w:val="21855919"/>
    <w:rsid w:val="21A5576E"/>
    <w:rsid w:val="21BC6C39"/>
    <w:rsid w:val="222971A9"/>
    <w:rsid w:val="225450CE"/>
    <w:rsid w:val="2264B73A"/>
    <w:rsid w:val="22CC5B64"/>
    <w:rsid w:val="22F5FCDC"/>
    <w:rsid w:val="2324DE12"/>
    <w:rsid w:val="239BF3D3"/>
    <w:rsid w:val="23A4AC43"/>
    <w:rsid w:val="23D76F2A"/>
    <w:rsid w:val="24346585"/>
    <w:rsid w:val="245E8754"/>
    <w:rsid w:val="2476DE0F"/>
    <w:rsid w:val="24A696DA"/>
    <w:rsid w:val="265ECCA4"/>
    <w:rsid w:val="26FD4AFF"/>
    <w:rsid w:val="2775B74E"/>
    <w:rsid w:val="27A41D0B"/>
    <w:rsid w:val="27BF4B51"/>
    <w:rsid w:val="28011C2A"/>
    <w:rsid w:val="286E8BEE"/>
    <w:rsid w:val="28BA8B01"/>
    <w:rsid w:val="28D96EC9"/>
    <w:rsid w:val="2941EA22"/>
    <w:rsid w:val="2960AC26"/>
    <w:rsid w:val="297F20A8"/>
    <w:rsid w:val="2B09401B"/>
    <w:rsid w:val="2B0CF910"/>
    <w:rsid w:val="2B1CA6CB"/>
    <w:rsid w:val="2B807019"/>
    <w:rsid w:val="2B85B3D6"/>
    <w:rsid w:val="2BC15668"/>
    <w:rsid w:val="2C6A5F67"/>
    <w:rsid w:val="2CAB4734"/>
    <w:rsid w:val="2CDB26D8"/>
    <w:rsid w:val="2D21DD18"/>
    <w:rsid w:val="2D35D866"/>
    <w:rsid w:val="2D5107E8"/>
    <w:rsid w:val="2D5786CE"/>
    <w:rsid w:val="2E8869E0"/>
    <w:rsid w:val="2E8CC4B4"/>
    <w:rsid w:val="2EB4C43F"/>
    <w:rsid w:val="2F145FAE"/>
    <w:rsid w:val="2F484C1E"/>
    <w:rsid w:val="2F4A8F2C"/>
    <w:rsid w:val="2FDA212C"/>
    <w:rsid w:val="3019027D"/>
    <w:rsid w:val="30630349"/>
    <w:rsid w:val="30AC1BE2"/>
    <w:rsid w:val="30B33EB2"/>
    <w:rsid w:val="3111ED61"/>
    <w:rsid w:val="3131A385"/>
    <w:rsid w:val="317B3DC3"/>
    <w:rsid w:val="31848722"/>
    <w:rsid w:val="31C23F19"/>
    <w:rsid w:val="31E12BE1"/>
    <w:rsid w:val="3200F389"/>
    <w:rsid w:val="3210B7C4"/>
    <w:rsid w:val="32C6865E"/>
    <w:rsid w:val="3350CE7D"/>
    <w:rsid w:val="339445E9"/>
    <w:rsid w:val="3482B7FA"/>
    <w:rsid w:val="34F4F130"/>
    <w:rsid w:val="350B072B"/>
    <w:rsid w:val="35160321"/>
    <w:rsid w:val="357F47C9"/>
    <w:rsid w:val="357FFD27"/>
    <w:rsid w:val="35B39C5F"/>
    <w:rsid w:val="35DAE555"/>
    <w:rsid w:val="3687CD6D"/>
    <w:rsid w:val="36AA0712"/>
    <w:rsid w:val="373AC2A5"/>
    <w:rsid w:val="3743F5EB"/>
    <w:rsid w:val="3746ABAD"/>
    <w:rsid w:val="378F66A8"/>
    <w:rsid w:val="3943CF8B"/>
    <w:rsid w:val="398F8BCE"/>
    <w:rsid w:val="39BA8449"/>
    <w:rsid w:val="3A06D2DF"/>
    <w:rsid w:val="3A2B63AA"/>
    <w:rsid w:val="3A9C7F85"/>
    <w:rsid w:val="3B50172F"/>
    <w:rsid w:val="3C95E528"/>
    <w:rsid w:val="3CBDF20B"/>
    <w:rsid w:val="3D2DCDAE"/>
    <w:rsid w:val="3D6ADD4B"/>
    <w:rsid w:val="3DA53752"/>
    <w:rsid w:val="3DB3AB92"/>
    <w:rsid w:val="3E1A6D64"/>
    <w:rsid w:val="3ED95218"/>
    <w:rsid w:val="3FDC4769"/>
    <w:rsid w:val="4015C5E4"/>
    <w:rsid w:val="40A6AA4D"/>
    <w:rsid w:val="40B01693"/>
    <w:rsid w:val="4189E803"/>
    <w:rsid w:val="41DFB241"/>
    <w:rsid w:val="42104142"/>
    <w:rsid w:val="42C314C0"/>
    <w:rsid w:val="42C4346A"/>
    <w:rsid w:val="42DE784E"/>
    <w:rsid w:val="42DF487C"/>
    <w:rsid w:val="4312056B"/>
    <w:rsid w:val="4358E101"/>
    <w:rsid w:val="43A45086"/>
    <w:rsid w:val="43A9A2F5"/>
    <w:rsid w:val="43B86B02"/>
    <w:rsid w:val="43E33455"/>
    <w:rsid w:val="448694B2"/>
    <w:rsid w:val="44BD3247"/>
    <w:rsid w:val="45426D88"/>
    <w:rsid w:val="45B486F8"/>
    <w:rsid w:val="45DF6314"/>
    <w:rsid w:val="464CDB90"/>
    <w:rsid w:val="464D2598"/>
    <w:rsid w:val="46670132"/>
    <w:rsid w:val="469BF29B"/>
    <w:rsid w:val="46C32E02"/>
    <w:rsid w:val="46EF9FBE"/>
    <w:rsid w:val="470F980A"/>
    <w:rsid w:val="478A3A5C"/>
    <w:rsid w:val="485BEFDE"/>
    <w:rsid w:val="488617CE"/>
    <w:rsid w:val="493C3606"/>
    <w:rsid w:val="49911D6E"/>
    <w:rsid w:val="4A74F6DB"/>
    <w:rsid w:val="4B000E21"/>
    <w:rsid w:val="4B3C1110"/>
    <w:rsid w:val="4BE37846"/>
    <w:rsid w:val="4C2B4455"/>
    <w:rsid w:val="4C3E558A"/>
    <w:rsid w:val="4C79D12F"/>
    <w:rsid w:val="4CA54AA6"/>
    <w:rsid w:val="4DB353F8"/>
    <w:rsid w:val="4EDB06C8"/>
    <w:rsid w:val="4F5ADB41"/>
    <w:rsid w:val="504F567C"/>
    <w:rsid w:val="51170FB9"/>
    <w:rsid w:val="5147E8F1"/>
    <w:rsid w:val="52FCEBC7"/>
    <w:rsid w:val="534CACF2"/>
    <w:rsid w:val="5420AF77"/>
    <w:rsid w:val="54EB755D"/>
    <w:rsid w:val="54F8D108"/>
    <w:rsid w:val="554111BA"/>
    <w:rsid w:val="55A226F6"/>
    <w:rsid w:val="55BE3FF5"/>
    <w:rsid w:val="55D01E03"/>
    <w:rsid w:val="56FBB61D"/>
    <w:rsid w:val="58EF5FB3"/>
    <w:rsid w:val="591F3D1E"/>
    <w:rsid w:val="59E30D37"/>
    <w:rsid w:val="5A11AAC0"/>
    <w:rsid w:val="5ADA34DC"/>
    <w:rsid w:val="5B0DE8DF"/>
    <w:rsid w:val="5C580BBC"/>
    <w:rsid w:val="5CBF6F63"/>
    <w:rsid w:val="5E2F74F9"/>
    <w:rsid w:val="5E972837"/>
    <w:rsid w:val="5EBACF40"/>
    <w:rsid w:val="5EF67614"/>
    <w:rsid w:val="5F5F13A9"/>
    <w:rsid w:val="5F8FB10A"/>
    <w:rsid w:val="5FA12F42"/>
    <w:rsid w:val="6052493F"/>
    <w:rsid w:val="607C5DC2"/>
    <w:rsid w:val="6105BE1B"/>
    <w:rsid w:val="610DB2BE"/>
    <w:rsid w:val="6177DED7"/>
    <w:rsid w:val="61BCF7EC"/>
    <w:rsid w:val="61F730F2"/>
    <w:rsid w:val="61FC810A"/>
    <w:rsid w:val="622E794A"/>
    <w:rsid w:val="625B426F"/>
    <w:rsid w:val="62B4E01D"/>
    <w:rsid w:val="62DE1F50"/>
    <w:rsid w:val="631114D3"/>
    <w:rsid w:val="635730B4"/>
    <w:rsid w:val="6376A717"/>
    <w:rsid w:val="6395A0B9"/>
    <w:rsid w:val="6398F0F2"/>
    <w:rsid w:val="642C631A"/>
    <w:rsid w:val="64743496"/>
    <w:rsid w:val="650C10F1"/>
    <w:rsid w:val="657456F2"/>
    <w:rsid w:val="65CC3945"/>
    <w:rsid w:val="660FB7F7"/>
    <w:rsid w:val="661754DB"/>
    <w:rsid w:val="671D0FDA"/>
    <w:rsid w:val="67771862"/>
    <w:rsid w:val="6790B4EB"/>
    <w:rsid w:val="6818AF5F"/>
    <w:rsid w:val="6824B281"/>
    <w:rsid w:val="684DF9AF"/>
    <w:rsid w:val="6890DE24"/>
    <w:rsid w:val="68E8A95B"/>
    <w:rsid w:val="68F12AB8"/>
    <w:rsid w:val="69401F81"/>
    <w:rsid w:val="6A36ED68"/>
    <w:rsid w:val="6A557C45"/>
    <w:rsid w:val="6AECACCD"/>
    <w:rsid w:val="6B57109A"/>
    <w:rsid w:val="6B652842"/>
    <w:rsid w:val="6B65A7AF"/>
    <w:rsid w:val="6BC461F6"/>
    <w:rsid w:val="6C3E2FB8"/>
    <w:rsid w:val="6C860CA9"/>
    <w:rsid w:val="6C98BC05"/>
    <w:rsid w:val="6CCD8654"/>
    <w:rsid w:val="6D4DEA94"/>
    <w:rsid w:val="6D8C2965"/>
    <w:rsid w:val="6DEEF7C1"/>
    <w:rsid w:val="6E572DEF"/>
    <w:rsid w:val="6EA70053"/>
    <w:rsid w:val="6F16B8D8"/>
    <w:rsid w:val="6F699623"/>
    <w:rsid w:val="6F9FDCE2"/>
    <w:rsid w:val="6FFB8F62"/>
    <w:rsid w:val="7045613D"/>
    <w:rsid w:val="705E9A5A"/>
    <w:rsid w:val="70B185FB"/>
    <w:rsid w:val="7121E768"/>
    <w:rsid w:val="7195E5DF"/>
    <w:rsid w:val="71CFA602"/>
    <w:rsid w:val="7208B566"/>
    <w:rsid w:val="7266B26A"/>
    <w:rsid w:val="72745548"/>
    <w:rsid w:val="72A0593C"/>
    <w:rsid w:val="73035B8A"/>
    <w:rsid w:val="7351E4D7"/>
    <w:rsid w:val="73713E00"/>
    <w:rsid w:val="738ED5C0"/>
    <w:rsid w:val="73AC3D33"/>
    <w:rsid w:val="74A0F9CE"/>
    <w:rsid w:val="74D54EB6"/>
    <w:rsid w:val="75DFE270"/>
    <w:rsid w:val="75FB07C7"/>
    <w:rsid w:val="76BDD0E6"/>
    <w:rsid w:val="77A868DB"/>
    <w:rsid w:val="7837BF55"/>
    <w:rsid w:val="788F2AF4"/>
    <w:rsid w:val="78DF017E"/>
    <w:rsid w:val="793DE577"/>
    <w:rsid w:val="79556557"/>
    <w:rsid w:val="797A042B"/>
    <w:rsid w:val="79FAD799"/>
    <w:rsid w:val="79FD827C"/>
    <w:rsid w:val="7A192520"/>
    <w:rsid w:val="7A59311D"/>
    <w:rsid w:val="7AEFDAB7"/>
    <w:rsid w:val="7B000F1A"/>
    <w:rsid w:val="7B7BE4F2"/>
    <w:rsid w:val="7B810D61"/>
    <w:rsid w:val="7C6E2D2D"/>
    <w:rsid w:val="7C7D9BC0"/>
    <w:rsid w:val="7D47D34C"/>
    <w:rsid w:val="7DB4FE92"/>
    <w:rsid w:val="7E4BB592"/>
    <w:rsid w:val="7EA567BE"/>
    <w:rsid w:val="7EE605F6"/>
    <w:rsid w:val="7F73F5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Batang"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99"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qFormat="1" w:unhideWhenUsed="0" w:uiPriority="99" w:semiHidden="0" w:name="table of figures"/>
    <w:lsdException w:uiPriority="99" w:name="envelope address"/>
    <w:lsdException w:uiPriority="99" w:name="envelope return"/>
    <w:lsdException w:qFormat="1" w:unhideWhenUsed="0" w:uiPriority="0" w:semiHidden="0"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qFormat="1" w:unhideWhenUsed="0" w:uiPriority="0" w:semiHidden="0" w:name="List Continue"/>
    <w:lsdException w:qFormat="1" w:unhideWhenUsed="0" w:uiPriority="0" w:semiHidden="0"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semiHidden="0"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US" w:eastAsia="ja-JP" w:bidi="ar-SA"/>
    </w:rPr>
  </w:style>
  <w:style w:type="paragraph" w:styleId="2">
    <w:name w:val="heading 1"/>
    <w:basedOn w:val="1"/>
    <w:next w:val="1"/>
    <w:link w:val="63"/>
    <w:qFormat/>
    <w:uiPriority w:val="0"/>
    <w:pPr>
      <w:keepNext/>
      <w:keepLines/>
      <w:pBdr>
        <w:top w:val="single" w:color="auto" w:sz="12" w:space="3"/>
      </w:pBdr>
      <w:spacing w:before="240"/>
      <w:ind w:left="1134" w:hanging="1134"/>
      <w:outlineLvl w:val="0"/>
    </w:pPr>
    <w:rPr>
      <w:rFonts w:ascii="Arial" w:hAnsi="Arial"/>
      <w:sz w:val="36"/>
      <w:lang w:val="en-GB"/>
    </w:rPr>
  </w:style>
  <w:style w:type="paragraph" w:styleId="3">
    <w:name w:val="heading 2"/>
    <w:basedOn w:val="2"/>
    <w:next w:val="1"/>
    <w:link w:val="64"/>
    <w:qFormat/>
    <w:uiPriority w:val="0"/>
    <w:pPr>
      <w:pBdr>
        <w:top w:val="none" w:color="auto" w:sz="0" w:space="0"/>
      </w:pBdr>
      <w:spacing w:before="180"/>
      <w:outlineLvl w:val="1"/>
    </w:pPr>
    <w:rPr>
      <w:sz w:val="32"/>
    </w:rPr>
  </w:style>
  <w:style w:type="paragraph" w:styleId="4">
    <w:name w:val="heading 3"/>
    <w:basedOn w:val="3"/>
    <w:next w:val="1"/>
    <w:link w:val="65"/>
    <w:qFormat/>
    <w:uiPriority w:val="0"/>
    <w:pPr>
      <w:spacing w:before="120"/>
      <w:outlineLvl w:val="2"/>
    </w:pPr>
    <w:rPr>
      <w:sz w:val="28"/>
    </w:rPr>
  </w:style>
  <w:style w:type="paragraph" w:styleId="5">
    <w:name w:val="heading 4"/>
    <w:basedOn w:val="4"/>
    <w:next w:val="1"/>
    <w:link w:val="66"/>
    <w:qFormat/>
    <w:uiPriority w:val="0"/>
    <w:pPr>
      <w:ind w:left="1418" w:hanging="1418"/>
      <w:outlineLvl w:val="3"/>
    </w:pPr>
    <w:rPr>
      <w:sz w:val="24"/>
    </w:rPr>
  </w:style>
  <w:style w:type="paragraph" w:styleId="6">
    <w:name w:val="heading 5"/>
    <w:basedOn w:val="5"/>
    <w:next w:val="1"/>
    <w:link w:val="67"/>
    <w:qFormat/>
    <w:uiPriority w:val="0"/>
    <w:pPr>
      <w:ind w:left="1701" w:hanging="1701"/>
      <w:outlineLvl w:val="4"/>
    </w:pPr>
    <w:rPr>
      <w:sz w:val="22"/>
    </w:rPr>
  </w:style>
  <w:style w:type="paragraph" w:styleId="7">
    <w:name w:val="heading 6"/>
    <w:basedOn w:val="8"/>
    <w:next w:val="1"/>
    <w:link w:val="68"/>
    <w:qFormat/>
    <w:uiPriority w:val="0"/>
    <w:pPr>
      <w:outlineLvl w:val="5"/>
    </w:pPr>
  </w:style>
  <w:style w:type="paragraph" w:styleId="9">
    <w:name w:val="heading 7"/>
    <w:basedOn w:val="8"/>
    <w:next w:val="1"/>
    <w:link w:val="69"/>
    <w:qFormat/>
    <w:uiPriority w:val="0"/>
    <w:pPr>
      <w:outlineLvl w:val="6"/>
    </w:pPr>
  </w:style>
  <w:style w:type="paragraph" w:styleId="10">
    <w:name w:val="heading 8"/>
    <w:basedOn w:val="2"/>
    <w:next w:val="1"/>
    <w:link w:val="70"/>
    <w:qFormat/>
    <w:uiPriority w:val="0"/>
    <w:pPr>
      <w:ind w:left="0" w:firstLine="0"/>
      <w:outlineLvl w:val="7"/>
    </w:pPr>
  </w:style>
  <w:style w:type="paragraph" w:styleId="11">
    <w:name w:val="heading 9"/>
    <w:basedOn w:val="10"/>
    <w:next w:val="1"/>
    <w:link w:val="71"/>
    <w:qFormat/>
    <w:uiPriority w:val="0"/>
    <w:pPr>
      <w:outlineLvl w:val="8"/>
    </w:pPr>
  </w:style>
  <w:style w:type="character" w:default="1" w:styleId="52">
    <w:name w:val="Default Paragraph Font"/>
    <w:semiHidden/>
    <w:unhideWhenUsed/>
    <w:qFormat/>
    <w:uiPriority w:val="1"/>
  </w:style>
  <w:style w:type="table" w:default="1" w:styleId="61">
    <w:name w:val="Normal Table"/>
    <w:semiHidden/>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annotation subject"/>
    <w:basedOn w:val="16"/>
    <w:next w:val="16"/>
    <w:link w:val="85"/>
    <w:qFormat/>
    <w:uiPriority w:val="0"/>
    <w:rPr>
      <w:b/>
      <w:bCs/>
    </w:rPr>
  </w:style>
  <w:style w:type="paragraph" w:styleId="16">
    <w:name w:val="annotation text"/>
    <w:basedOn w:val="1"/>
    <w:link w:val="84"/>
    <w:qFormat/>
    <w:uiPriority w:val="99"/>
  </w:style>
  <w:style w:type="paragraph" w:styleId="17">
    <w:name w:val="toc 7"/>
    <w:basedOn w:val="18"/>
    <w:next w:val="1"/>
    <w:qFormat/>
    <w:uiPriority w:val="39"/>
    <w:pPr>
      <w:tabs>
        <w:tab w:val="right" w:leader="dot" w:pos="9639"/>
      </w:tabs>
      <w:ind w:left="2268" w:hanging="2268"/>
    </w:pPr>
  </w:style>
  <w:style w:type="paragraph" w:styleId="18">
    <w:name w:val="toc 6"/>
    <w:basedOn w:val="19"/>
    <w:next w:val="1"/>
    <w:qFormat/>
    <w:uiPriority w:val="39"/>
    <w:pPr>
      <w:tabs>
        <w:tab w:val="right" w:leader="dot" w:pos="9639"/>
      </w:tabs>
      <w:ind w:left="1985" w:hanging="1985"/>
    </w:pPr>
  </w:style>
  <w:style w:type="paragraph" w:styleId="19">
    <w:name w:val="toc 5"/>
    <w:basedOn w:val="20"/>
    <w:next w:val="1"/>
    <w:qFormat/>
    <w:uiPriority w:val="39"/>
    <w:pPr>
      <w:tabs>
        <w:tab w:val="right" w:leader="dot" w:pos="9639"/>
      </w:tabs>
      <w:ind w:left="1701" w:hanging="1701"/>
    </w:pPr>
  </w:style>
  <w:style w:type="paragraph" w:styleId="20">
    <w:name w:val="toc 4"/>
    <w:basedOn w:val="21"/>
    <w:next w:val="1"/>
    <w:qFormat/>
    <w:uiPriority w:val="39"/>
    <w:pPr>
      <w:tabs>
        <w:tab w:val="right" w:leader="dot" w:pos="9639"/>
      </w:tabs>
      <w:ind w:left="1418" w:hanging="1418"/>
    </w:pPr>
  </w:style>
  <w:style w:type="paragraph" w:styleId="21">
    <w:name w:val="toc 3"/>
    <w:basedOn w:val="22"/>
    <w:next w:val="1"/>
    <w:qFormat/>
    <w:uiPriority w:val="39"/>
    <w:pPr>
      <w:tabs>
        <w:tab w:val="right" w:leader="dot" w:pos="9639"/>
      </w:tabs>
      <w:ind w:left="1134" w:hanging="1134"/>
    </w:pPr>
  </w:style>
  <w:style w:type="paragraph" w:styleId="22">
    <w:name w:val="toc 2"/>
    <w:basedOn w:val="23"/>
    <w:next w:val="1"/>
    <w:qFormat/>
    <w:uiPriority w:val="39"/>
    <w:pPr>
      <w:keepNext w:val="0"/>
      <w:tabs>
        <w:tab w:val="right" w:leader="dot" w:pos="9639"/>
      </w:tabs>
      <w:spacing w:before="0"/>
      <w:ind w:left="851" w:hanging="851"/>
    </w:pPr>
    <w:rPr>
      <w:sz w:val="20"/>
    </w:rPr>
  </w:style>
  <w:style w:type="paragraph" w:styleId="23">
    <w:name w:val="toc 1"/>
    <w:next w:val="1"/>
    <w:qFormat/>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ja-JP" w:bidi="ar-SA"/>
    </w:rPr>
  </w:style>
  <w:style w:type="paragraph" w:styleId="24">
    <w:name w:val="List Number 2"/>
    <w:basedOn w:val="25"/>
    <w:qFormat/>
    <w:uiPriority w:val="0"/>
    <w:pPr>
      <w:numPr>
        <w:numId w:val="1"/>
      </w:numPr>
    </w:pPr>
  </w:style>
  <w:style w:type="paragraph" w:styleId="25">
    <w:name w:val="List Number"/>
    <w:basedOn w:val="14"/>
    <w:qFormat/>
    <w:uiPriority w:val="0"/>
    <w:pPr>
      <w:numPr>
        <w:ilvl w:val="0"/>
        <w:numId w:val="2"/>
      </w:numPr>
    </w:pPr>
  </w:style>
  <w:style w:type="paragraph" w:styleId="26">
    <w:name w:val="List Bullet 4"/>
    <w:basedOn w:val="27"/>
    <w:qFormat/>
    <w:uiPriority w:val="0"/>
    <w:pPr>
      <w:numPr>
        <w:numId w:val="3"/>
      </w:numPr>
    </w:pPr>
  </w:style>
  <w:style w:type="paragraph" w:styleId="27">
    <w:name w:val="List Bullet 3"/>
    <w:basedOn w:val="28"/>
    <w:qFormat/>
    <w:uiPriority w:val="0"/>
    <w:pPr>
      <w:numPr>
        <w:numId w:val="4"/>
      </w:numPr>
    </w:pPr>
  </w:style>
  <w:style w:type="paragraph" w:styleId="28">
    <w:name w:val="List Bullet 2"/>
    <w:basedOn w:val="29"/>
    <w:qFormat/>
    <w:uiPriority w:val="0"/>
    <w:pPr>
      <w:numPr>
        <w:numId w:val="5"/>
      </w:numPr>
    </w:pPr>
  </w:style>
  <w:style w:type="paragraph" w:styleId="29">
    <w:name w:val="List Bullet"/>
    <w:basedOn w:val="14"/>
    <w:qFormat/>
    <w:uiPriority w:val="0"/>
    <w:pPr>
      <w:numPr>
        <w:ilvl w:val="0"/>
        <w:numId w:val="6"/>
      </w:numPr>
    </w:pPr>
  </w:style>
  <w:style w:type="paragraph" w:styleId="30">
    <w:name w:val="caption"/>
    <w:basedOn w:val="1"/>
    <w:next w:val="1"/>
    <w:qFormat/>
    <w:uiPriority w:val="0"/>
    <w:pPr>
      <w:spacing w:before="120" w:after="120"/>
    </w:pPr>
    <w:rPr>
      <w:b/>
      <w:lang w:eastAsia="en-GB"/>
    </w:rPr>
  </w:style>
  <w:style w:type="paragraph" w:styleId="31">
    <w:name w:val="Document Map"/>
    <w:basedOn w:val="1"/>
    <w:link w:val="73"/>
    <w:qFormat/>
    <w:uiPriority w:val="0"/>
    <w:pPr>
      <w:shd w:val="clear" w:color="auto" w:fill="000080"/>
    </w:pPr>
    <w:rPr>
      <w:rFonts w:ascii="Tahoma" w:hAnsi="Tahoma" w:cs="Tahoma"/>
    </w:rPr>
  </w:style>
  <w:style w:type="paragraph" w:styleId="32">
    <w:name w:val="Body Text"/>
    <w:basedOn w:val="1"/>
    <w:link w:val="83"/>
    <w:qFormat/>
    <w:uiPriority w:val="0"/>
    <w:pPr>
      <w:spacing w:after="120"/>
      <w:jc w:val="both"/>
    </w:pPr>
    <w:rPr>
      <w:rFonts w:ascii="Arial" w:hAnsi="Arial"/>
      <w:lang w:eastAsia="zh-CN"/>
    </w:rPr>
  </w:style>
  <w:style w:type="paragraph" w:styleId="33">
    <w:name w:val="List Number 3"/>
    <w:basedOn w:val="24"/>
    <w:qFormat/>
    <w:uiPriority w:val="0"/>
    <w:pPr>
      <w:numPr>
        <w:numId w:val="7"/>
      </w:numPr>
      <w:contextualSpacing/>
    </w:pPr>
  </w:style>
  <w:style w:type="paragraph" w:styleId="34">
    <w:name w:val="List Continue"/>
    <w:basedOn w:val="1"/>
    <w:qFormat/>
    <w:uiPriority w:val="0"/>
    <w:pPr>
      <w:spacing w:after="120"/>
      <w:ind w:left="283"/>
      <w:contextualSpacing/>
    </w:pPr>
    <w:rPr>
      <w:rFonts w:ascii="Arial" w:hAnsi="Arial"/>
    </w:rPr>
  </w:style>
  <w:style w:type="paragraph" w:styleId="35">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eastAsiaTheme="minorEastAsia"/>
      <w:i/>
      <w:iCs/>
      <w:color w:val="4472C4" w:themeColor="accent1"/>
      <w14:textFill>
        <w14:solidFill>
          <w14:schemeClr w14:val="accent1"/>
        </w14:solidFill>
      </w14:textFill>
    </w:rPr>
  </w:style>
  <w:style w:type="paragraph" w:styleId="36">
    <w:name w:val="Plain Text"/>
    <w:basedOn w:val="1"/>
    <w:link w:val="140"/>
    <w:qFormat/>
    <w:uiPriority w:val="0"/>
    <w:rPr>
      <w:rFonts w:ascii="Courier New" w:hAnsi="Courier New"/>
      <w:lang w:val="nb-NO"/>
    </w:rPr>
  </w:style>
  <w:style w:type="paragraph" w:styleId="37">
    <w:name w:val="List Bullet 5"/>
    <w:basedOn w:val="26"/>
    <w:qFormat/>
    <w:uiPriority w:val="0"/>
    <w:pPr>
      <w:numPr>
        <w:numId w:val="8"/>
      </w:numPr>
    </w:pPr>
  </w:style>
  <w:style w:type="paragraph" w:styleId="38">
    <w:name w:val="toc 8"/>
    <w:basedOn w:val="23"/>
    <w:next w:val="1"/>
    <w:qFormat/>
    <w:uiPriority w:val="39"/>
    <w:pPr>
      <w:spacing w:before="180"/>
      <w:ind w:left="2693" w:hanging="2693"/>
    </w:pPr>
    <w:rPr>
      <w:b/>
    </w:rPr>
  </w:style>
  <w:style w:type="paragraph" w:styleId="39">
    <w:name w:val="Balloon Text"/>
    <w:basedOn w:val="1"/>
    <w:link w:val="82"/>
    <w:qFormat/>
    <w:uiPriority w:val="0"/>
    <w:pPr>
      <w:spacing w:after="0"/>
    </w:pPr>
    <w:rPr>
      <w:rFonts w:ascii="Segoe UI" w:hAnsi="Segoe UI" w:cs="Segoe UI"/>
      <w:sz w:val="18"/>
      <w:szCs w:val="18"/>
    </w:rPr>
  </w:style>
  <w:style w:type="paragraph" w:styleId="40">
    <w:name w:val="footer"/>
    <w:basedOn w:val="41"/>
    <w:link w:val="80"/>
    <w:qFormat/>
    <w:uiPriority w:val="0"/>
    <w:pPr>
      <w:jc w:val="center"/>
    </w:pPr>
    <w:rPr>
      <w:i/>
    </w:rPr>
  </w:style>
  <w:style w:type="paragraph" w:styleId="41">
    <w:name w:val="header"/>
    <w:link w:val="74"/>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42">
    <w:name w:val="index heading"/>
    <w:basedOn w:val="1"/>
    <w:next w:val="1"/>
    <w:qFormat/>
    <w:uiPriority w:val="0"/>
    <w:pPr>
      <w:pBdr>
        <w:top w:val="single" w:color="auto" w:sz="12" w:space="0"/>
      </w:pBdr>
      <w:spacing w:before="360" w:after="240"/>
    </w:pPr>
    <w:rPr>
      <w:b/>
      <w:i/>
      <w:sz w:val="26"/>
      <w:lang w:eastAsia="en-GB"/>
    </w:rPr>
  </w:style>
  <w:style w:type="paragraph" w:styleId="43">
    <w:name w:val="footnote text"/>
    <w:basedOn w:val="1"/>
    <w:link w:val="75"/>
    <w:qFormat/>
    <w:uiPriority w:val="0"/>
    <w:pPr>
      <w:keepLines/>
      <w:spacing w:after="0"/>
      <w:ind w:left="454" w:hanging="454"/>
    </w:pPr>
    <w:rPr>
      <w:sz w:val="16"/>
    </w:rPr>
  </w:style>
  <w:style w:type="paragraph" w:styleId="44">
    <w:name w:val="List 5"/>
    <w:basedOn w:val="45"/>
    <w:qFormat/>
    <w:uiPriority w:val="0"/>
    <w:pPr>
      <w:ind w:left="1702"/>
    </w:pPr>
  </w:style>
  <w:style w:type="paragraph" w:styleId="45">
    <w:name w:val="List 4"/>
    <w:basedOn w:val="12"/>
    <w:qFormat/>
    <w:uiPriority w:val="0"/>
    <w:pPr>
      <w:ind w:left="1418"/>
    </w:pPr>
  </w:style>
  <w:style w:type="paragraph" w:styleId="46">
    <w:name w:val="table of figures"/>
    <w:basedOn w:val="32"/>
    <w:next w:val="1"/>
    <w:qFormat/>
    <w:uiPriority w:val="99"/>
    <w:pPr>
      <w:ind w:left="1701" w:hanging="1701"/>
      <w:jc w:val="left"/>
    </w:pPr>
    <w:rPr>
      <w:b/>
    </w:rPr>
  </w:style>
  <w:style w:type="paragraph" w:styleId="47">
    <w:name w:val="toc 9"/>
    <w:basedOn w:val="38"/>
    <w:next w:val="1"/>
    <w:qFormat/>
    <w:uiPriority w:val="39"/>
    <w:pPr>
      <w:ind w:left="1418" w:hanging="1418"/>
    </w:pPr>
  </w:style>
  <w:style w:type="paragraph" w:styleId="48">
    <w:name w:val="List Continue 2"/>
    <w:basedOn w:val="1"/>
    <w:qFormat/>
    <w:uiPriority w:val="0"/>
    <w:pPr>
      <w:spacing w:after="120"/>
      <w:ind w:left="566"/>
      <w:contextualSpacing/>
    </w:pPr>
    <w:rPr>
      <w:rFonts w:ascii="Arial" w:hAnsi="Arial"/>
    </w:rPr>
  </w:style>
  <w:style w:type="paragraph" w:styleId="49">
    <w:name w:val="Normal (Web)"/>
    <w:basedOn w:val="1"/>
    <w:unhideWhenUsed/>
    <w:qFormat/>
    <w:uiPriority w:val="99"/>
    <w:pPr>
      <w:spacing w:before="100" w:beforeAutospacing="1" w:after="100" w:afterAutospacing="1"/>
    </w:pPr>
    <w:rPr>
      <w:sz w:val="24"/>
      <w:szCs w:val="24"/>
    </w:rPr>
  </w:style>
  <w:style w:type="paragraph" w:styleId="50">
    <w:name w:val="index 1"/>
    <w:basedOn w:val="1"/>
    <w:next w:val="1"/>
    <w:qFormat/>
    <w:uiPriority w:val="0"/>
    <w:pPr>
      <w:keepLines/>
      <w:spacing w:after="0"/>
    </w:pPr>
  </w:style>
  <w:style w:type="paragraph" w:styleId="51">
    <w:name w:val="index 2"/>
    <w:basedOn w:val="50"/>
    <w:next w:val="1"/>
    <w:qFormat/>
    <w:uiPriority w:val="0"/>
    <w:pPr>
      <w:ind w:left="284"/>
    </w:pPr>
  </w:style>
  <w:style w:type="character" w:styleId="53">
    <w:name w:val="Strong"/>
    <w:qFormat/>
    <w:uiPriority w:val="22"/>
    <w:rPr>
      <w:b/>
      <w:bCs/>
    </w:rPr>
  </w:style>
  <w:style w:type="character" w:styleId="54">
    <w:name w:val="page number"/>
    <w:basedOn w:val="52"/>
    <w:qFormat/>
    <w:uiPriority w:val="0"/>
  </w:style>
  <w:style w:type="character" w:styleId="55">
    <w:name w:val="FollowedHyperlink"/>
    <w:unhideWhenUsed/>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HTML Code"/>
    <w:unhideWhenUsed/>
    <w:qFormat/>
    <w:uiPriority w:val="99"/>
    <w:rPr>
      <w:rFonts w:ascii="Courier New" w:hAnsi="Courier New" w:eastAsia="Times New Roman" w:cs="Courier New"/>
      <w:sz w:val="20"/>
      <w:szCs w:val="20"/>
    </w:rPr>
  </w:style>
  <w:style w:type="character" w:styleId="59">
    <w:name w:val="annotation reference"/>
    <w:qFormat/>
    <w:uiPriority w:val="99"/>
    <w:rPr>
      <w:sz w:val="16"/>
      <w:szCs w:val="16"/>
    </w:rPr>
  </w:style>
  <w:style w:type="character" w:styleId="60">
    <w:name w:val="footnote reference"/>
    <w:qFormat/>
    <w:uiPriority w:val="0"/>
    <w:rPr>
      <w:b/>
      <w:position w:val="6"/>
      <w:sz w:val="16"/>
    </w:rPr>
  </w:style>
  <w:style w:type="table" w:styleId="62">
    <w:name w:val="Table Grid"/>
    <w:basedOn w:val="61"/>
    <w:qFormat/>
    <w:uiPriority w:val="39"/>
    <w:rPr>
      <w:rFonts w:ascii="Calibri" w:hAnsi="Calibri" w:eastAsia="Calibri"/>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63">
    <w:name w:val="Heading 1 Char"/>
    <w:basedOn w:val="52"/>
    <w:link w:val="2"/>
    <w:qFormat/>
    <w:uiPriority w:val="0"/>
    <w:rPr>
      <w:rFonts w:ascii="Arial" w:hAnsi="Arial" w:eastAsia="Times New Roman" w:cs="Times New Roman"/>
      <w:sz w:val="36"/>
      <w:szCs w:val="20"/>
      <w:lang w:val="en-GB" w:eastAsia="ja-JP"/>
    </w:rPr>
  </w:style>
  <w:style w:type="character" w:customStyle="1" w:styleId="64">
    <w:name w:val="Heading 2 Char"/>
    <w:basedOn w:val="52"/>
    <w:link w:val="3"/>
    <w:qFormat/>
    <w:uiPriority w:val="0"/>
    <w:rPr>
      <w:rFonts w:ascii="Arial" w:hAnsi="Arial" w:eastAsia="Times New Roman" w:cs="Times New Roman"/>
      <w:sz w:val="32"/>
      <w:szCs w:val="20"/>
      <w:lang w:val="en-GB" w:eastAsia="ja-JP"/>
    </w:rPr>
  </w:style>
  <w:style w:type="character" w:customStyle="1" w:styleId="65">
    <w:name w:val="Heading 3 Char"/>
    <w:basedOn w:val="52"/>
    <w:link w:val="4"/>
    <w:qFormat/>
    <w:uiPriority w:val="0"/>
    <w:rPr>
      <w:rFonts w:ascii="Arial" w:hAnsi="Arial" w:eastAsia="Times New Roman" w:cs="Times New Roman"/>
      <w:sz w:val="28"/>
      <w:szCs w:val="20"/>
      <w:lang w:val="en-GB" w:eastAsia="ja-JP"/>
    </w:rPr>
  </w:style>
  <w:style w:type="character" w:customStyle="1" w:styleId="66">
    <w:name w:val="Heading 4 Char"/>
    <w:basedOn w:val="52"/>
    <w:link w:val="5"/>
    <w:qFormat/>
    <w:uiPriority w:val="0"/>
    <w:rPr>
      <w:rFonts w:ascii="Arial" w:hAnsi="Arial" w:eastAsia="Times New Roman" w:cs="Times New Roman"/>
      <w:sz w:val="24"/>
      <w:szCs w:val="20"/>
      <w:lang w:val="en-GB" w:eastAsia="ja-JP"/>
    </w:rPr>
  </w:style>
  <w:style w:type="character" w:customStyle="1" w:styleId="67">
    <w:name w:val="Heading 5 Char"/>
    <w:basedOn w:val="52"/>
    <w:link w:val="6"/>
    <w:qFormat/>
    <w:uiPriority w:val="0"/>
    <w:rPr>
      <w:rFonts w:ascii="Arial" w:hAnsi="Arial" w:eastAsia="Times New Roman" w:cs="Times New Roman"/>
      <w:szCs w:val="20"/>
      <w:lang w:val="en-GB" w:eastAsia="ja-JP"/>
    </w:rPr>
  </w:style>
  <w:style w:type="character" w:customStyle="1" w:styleId="68">
    <w:name w:val="Heading 6 Char"/>
    <w:basedOn w:val="52"/>
    <w:link w:val="7"/>
    <w:qFormat/>
    <w:uiPriority w:val="0"/>
    <w:rPr>
      <w:rFonts w:ascii="Arial" w:hAnsi="Arial" w:eastAsia="Times New Roman" w:cs="Times New Roman"/>
      <w:sz w:val="20"/>
      <w:szCs w:val="20"/>
      <w:lang w:val="en-GB" w:eastAsia="ja-JP"/>
    </w:rPr>
  </w:style>
  <w:style w:type="character" w:customStyle="1" w:styleId="69">
    <w:name w:val="Heading 7 Char"/>
    <w:basedOn w:val="52"/>
    <w:link w:val="9"/>
    <w:qFormat/>
    <w:uiPriority w:val="0"/>
    <w:rPr>
      <w:rFonts w:ascii="Arial" w:hAnsi="Arial" w:eastAsia="Times New Roman" w:cs="Times New Roman"/>
      <w:sz w:val="20"/>
      <w:szCs w:val="20"/>
      <w:lang w:val="en-GB" w:eastAsia="ja-JP"/>
    </w:rPr>
  </w:style>
  <w:style w:type="character" w:customStyle="1" w:styleId="70">
    <w:name w:val="Heading 8 Char"/>
    <w:basedOn w:val="52"/>
    <w:link w:val="10"/>
    <w:qFormat/>
    <w:uiPriority w:val="0"/>
    <w:rPr>
      <w:rFonts w:ascii="Arial" w:hAnsi="Arial" w:eastAsia="Times New Roman" w:cs="Times New Roman"/>
      <w:sz w:val="36"/>
      <w:szCs w:val="20"/>
      <w:lang w:val="en-GB" w:eastAsia="ja-JP"/>
    </w:rPr>
  </w:style>
  <w:style w:type="character" w:customStyle="1" w:styleId="71">
    <w:name w:val="Heading 9 Char"/>
    <w:basedOn w:val="52"/>
    <w:link w:val="11"/>
    <w:qFormat/>
    <w:uiPriority w:val="0"/>
    <w:rPr>
      <w:rFonts w:ascii="Arial" w:hAnsi="Arial" w:eastAsia="Times New Roman" w:cs="Times New Roman"/>
      <w:sz w:val="36"/>
      <w:szCs w:val="20"/>
      <w:lang w:val="en-GB" w:eastAsia="ja-JP"/>
    </w:rPr>
  </w:style>
  <w:style w:type="paragraph" w:customStyle="1" w:styleId="72">
    <w:name w:val="Figure"/>
    <w:basedOn w:val="1"/>
    <w:next w:val="30"/>
    <w:qFormat/>
    <w:uiPriority w:val="0"/>
    <w:pPr>
      <w:keepNext/>
      <w:keepLines/>
      <w:spacing w:before="180"/>
      <w:jc w:val="center"/>
    </w:pPr>
  </w:style>
  <w:style w:type="character" w:customStyle="1" w:styleId="73">
    <w:name w:val="Document Map Char"/>
    <w:basedOn w:val="52"/>
    <w:link w:val="31"/>
    <w:qFormat/>
    <w:uiPriority w:val="0"/>
    <w:rPr>
      <w:rFonts w:ascii="Tahoma" w:hAnsi="Tahoma" w:eastAsia="Times New Roman" w:cs="Tahoma"/>
      <w:sz w:val="20"/>
      <w:szCs w:val="20"/>
      <w:shd w:val="clear" w:color="auto" w:fill="000080"/>
      <w:lang w:eastAsia="ja-JP"/>
    </w:rPr>
  </w:style>
  <w:style w:type="character" w:customStyle="1" w:styleId="74">
    <w:name w:val="Header Char"/>
    <w:basedOn w:val="52"/>
    <w:link w:val="41"/>
    <w:qFormat/>
    <w:uiPriority w:val="0"/>
    <w:rPr>
      <w:rFonts w:ascii="Arial" w:hAnsi="Arial" w:eastAsia="Times New Roman" w:cs="Times New Roman"/>
      <w:b/>
      <w:sz w:val="18"/>
      <w:szCs w:val="20"/>
      <w:lang w:val="en-GB" w:eastAsia="ja-JP"/>
    </w:rPr>
  </w:style>
  <w:style w:type="character" w:customStyle="1" w:styleId="75">
    <w:name w:val="Footnote Text Char"/>
    <w:basedOn w:val="52"/>
    <w:link w:val="43"/>
    <w:qFormat/>
    <w:uiPriority w:val="0"/>
    <w:rPr>
      <w:rFonts w:ascii="Times New Roman" w:hAnsi="Times New Roman" w:eastAsia="Times New Roman" w:cs="Times New Roman"/>
      <w:sz w:val="16"/>
      <w:szCs w:val="20"/>
      <w:lang w:eastAsia="ja-JP"/>
    </w:rPr>
  </w:style>
  <w:style w:type="paragraph" w:customStyle="1" w:styleId="76">
    <w:name w:val="3GPP_Header"/>
    <w:basedOn w:val="32"/>
    <w:qFormat/>
    <w:uiPriority w:val="0"/>
    <w:pPr>
      <w:tabs>
        <w:tab w:val="left" w:pos="1701"/>
        <w:tab w:val="right" w:pos="9639"/>
      </w:tabs>
      <w:spacing w:after="240"/>
    </w:pPr>
    <w:rPr>
      <w:b/>
      <w:sz w:val="24"/>
    </w:rPr>
  </w:style>
  <w:style w:type="paragraph" w:customStyle="1" w:styleId="77">
    <w:name w:val="EQ"/>
    <w:basedOn w:val="1"/>
    <w:next w:val="1"/>
    <w:qFormat/>
    <w:uiPriority w:val="0"/>
    <w:pPr>
      <w:keepLines/>
      <w:tabs>
        <w:tab w:val="center" w:pos="4536"/>
        <w:tab w:val="right" w:pos="9072"/>
      </w:tabs>
    </w:pPr>
  </w:style>
  <w:style w:type="paragraph" w:customStyle="1" w:styleId="78">
    <w:name w:val="Editor's Note"/>
    <w:basedOn w:val="79"/>
    <w:link w:val="129"/>
    <w:qFormat/>
    <w:uiPriority w:val="0"/>
    <w:rPr>
      <w:color w:val="FF0000"/>
      <w:lang w:val="zh-CN" w:eastAsia="zh-CN"/>
    </w:rPr>
  </w:style>
  <w:style w:type="paragraph" w:customStyle="1" w:styleId="79">
    <w:name w:val="NO"/>
    <w:basedOn w:val="1"/>
    <w:link w:val="128"/>
    <w:qFormat/>
    <w:uiPriority w:val="0"/>
    <w:pPr>
      <w:keepLines/>
      <w:ind w:left="1135" w:hanging="851"/>
    </w:pPr>
  </w:style>
  <w:style w:type="character" w:customStyle="1" w:styleId="80">
    <w:name w:val="Footer Char"/>
    <w:basedOn w:val="52"/>
    <w:link w:val="40"/>
    <w:qFormat/>
    <w:uiPriority w:val="0"/>
    <w:rPr>
      <w:rFonts w:ascii="Arial" w:hAnsi="Arial" w:eastAsia="Times New Roman" w:cs="Times New Roman"/>
      <w:b/>
      <w:i/>
      <w:sz w:val="18"/>
      <w:szCs w:val="20"/>
      <w:lang w:val="en-GB" w:eastAsia="ja-JP"/>
    </w:rPr>
  </w:style>
  <w:style w:type="paragraph" w:customStyle="1" w:styleId="81">
    <w:name w:val="Reference"/>
    <w:basedOn w:val="32"/>
    <w:qFormat/>
    <w:uiPriority w:val="0"/>
    <w:pPr>
      <w:numPr>
        <w:ilvl w:val="0"/>
        <w:numId w:val="9"/>
      </w:numPr>
    </w:pPr>
  </w:style>
  <w:style w:type="character" w:customStyle="1" w:styleId="82">
    <w:name w:val="Balloon Text Char"/>
    <w:basedOn w:val="52"/>
    <w:link w:val="39"/>
    <w:qFormat/>
    <w:uiPriority w:val="0"/>
    <w:rPr>
      <w:rFonts w:ascii="Segoe UI" w:hAnsi="Segoe UI" w:eastAsia="Times New Roman" w:cs="Segoe UI"/>
      <w:sz w:val="18"/>
      <w:szCs w:val="18"/>
      <w:lang w:eastAsia="ja-JP"/>
    </w:rPr>
  </w:style>
  <w:style w:type="character" w:customStyle="1" w:styleId="83">
    <w:name w:val="Body Text Char"/>
    <w:basedOn w:val="52"/>
    <w:link w:val="32"/>
    <w:qFormat/>
    <w:uiPriority w:val="0"/>
    <w:rPr>
      <w:rFonts w:ascii="Arial" w:hAnsi="Arial" w:eastAsia="Times New Roman" w:cs="Times New Roman"/>
      <w:sz w:val="20"/>
      <w:szCs w:val="20"/>
      <w:lang w:eastAsia="zh-CN"/>
    </w:rPr>
  </w:style>
  <w:style w:type="character" w:customStyle="1" w:styleId="84">
    <w:name w:val="Comment Text Char"/>
    <w:basedOn w:val="52"/>
    <w:link w:val="16"/>
    <w:qFormat/>
    <w:uiPriority w:val="99"/>
    <w:rPr>
      <w:rFonts w:ascii="Times New Roman" w:hAnsi="Times New Roman" w:eastAsia="Times New Roman" w:cs="Times New Roman"/>
      <w:sz w:val="20"/>
      <w:szCs w:val="20"/>
      <w:lang w:eastAsia="ja-JP"/>
    </w:rPr>
  </w:style>
  <w:style w:type="character" w:customStyle="1" w:styleId="85">
    <w:name w:val="Comment Subject Char"/>
    <w:basedOn w:val="84"/>
    <w:link w:val="15"/>
    <w:qFormat/>
    <w:uiPriority w:val="0"/>
    <w:rPr>
      <w:rFonts w:ascii="Times New Roman" w:hAnsi="Times New Roman" w:eastAsia="Times New Roman" w:cs="Times New Roman"/>
      <w:b/>
      <w:bCs/>
      <w:sz w:val="20"/>
      <w:szCs w:val="20"/>
      <w:lang w:eastAsia="ja-JP"/>
    </w:rPr>
  </w:style>
  <w:style w:type="paragraph" w:customStyle="1" w:styleId="86">
    <w:name w:val="B1"/>
    <w:basedOn w:val="14"/>
    <w:link w:val="114"/>
    <w:qFormat/>
    <w:uiPriority w:val="0"/>
  </w:style>
  <w:style w:type="paragraph" w:customStyle="1" w:styleId="87">
    <w:name w:val="B2"/>
    <w:basedOn w:val="13"/>
    <w:link w:val="115"/>
    <w:qFormat/>
    <w:uiPriority w:val="0"/>
  </w:style>
  <w:style w:type="paragraph" w:customStyle="1" w:styleId="88">
    <w:name w:val="B3"/>
    <w:basedOn w:val="12"/>
    <w:link w:val="116"/>
    <w:qFormat/>
    <w:uiPriority w:val="0"/>
  </w:style>
  <w:style w:type="paragraph" w:customStyle="1" w:styleId="89">
    <w:name w:val="B4"/>
    <w:basedOn w:val="45"/>
    <w:link w:val="117"/>
    <w:qFormat/>
    <w:uiPriority w:val="0"/>
  </w:style>
  <w:style w:type="paragraph" w:customStyle="1" w:styleId="90">
    <w:name w:val="Proposal"/>
    <w:basedOn w:val="32"/>
    <w:qFormat/>
    <w:uiPriority w:val="0"/>
    <w:pPr>
      <w:numPr>
        <w:ilvl w:val="0"/>
        <w:numId w:val="10"/>
      </w:numPr>
      <w:tabs>
        <w:tab w:val="left" w:pos="1701"/>
      </w:tabs>
    </w:pPr>
    <w:rPr>
      <w:b/>
      <w:bCs/>
    </w:rPr>
  </w:style>
  <w:style w:type="paragraph" w:customStyle="1" w:styleId="91">
    <w:name w:val="B5"/>
    <w:basedOn w:val="44"/>
    <w:link w:val="118"/>
    <w:qFormat/>
    <w:uiPriority w:val="0"/>
  </w:style>
  <w:style w:type="paragraph" w:customStyle="1" w:styleId="92">
    <w:name w:val="EX"/>
    <w:basedOn w:val="1"/>
    <w:qFormat/>
    <w:uiPriority w:val="0"/>
    <w:pPr>
      <w:keepLines/>
      <w:ind w:left="1702" w:hanging="1418"/>
    </w:pPr>
  </w:style>
  <w:style w:type="paragraph" w:customStyle="1" w:styleId="93">
    <w:name w:val="EW"/>
    <w:basedOn w:val="92"/>
    <w:qFormat/>
    <w:uiPriority w:val="0"/>
    <w:pPr>
      <w:spacing w:after="0"/>
    </w:pPr>
  </w:style>
  <w:style w:type="paragraph" w:customStyle="1" w:styleId="94">
    <w:name w:val="TAL"/>
    <w:basedOn w:val="1"/>
    <w:link w:val="141"/>
    <w:qFormat/>
    <w:uiPriority w:val="0"/>
    <w:pPr>
      <w:keepNext/>
      <w:keepLines/>
      <w:spacing w:after="0"/>
    </w:pPr>
    <w:rPr>
      <w:rFonts w:ascii="Arial" w:hAnsi="Arial"/>
      <w:sz w:val="18"/>
      <w:lang w:val="zh-CN" w:eastAsia="zh-CN"/>
    </w:rPr>
  </w:style>
  <w:style w:type="paragraph" w:customStyle="1" w:styleId="95">
    <w:name w:val="TAC"/>
    <w:basedOn w:val="94"/>
    <w:link w:val="152"/>
    <w:qFormat/>
    <w:uiPriority w:val="0"/>
    <w:pPr>
      <w:jc w:val="center"/>
    </w:pPr>
  </w:style>
  <w:style w:type="paragraph" w:customStyle="1" w:styleId="96">
    <w:name w:val="TAH"/>
    <w:basedOn w:val="95"/>
    <w:link w:val="142"/>
    <w:qFormat/>
    <w:uiPriority w:val="0"/>
    <w:rPr>
      <w:b/>
    </w:rPr>
  </w:style>
  <w:style w:type="paragraph" w:customStyle="1" w:styleId="97">
    <w:name w:val="TAN"/>
    <w:basedOn w:val="94"/>
    <w:link w:val="155"/>
    <w:qFormat/>
    <w:uiPriority w:val="0"/>
    <w:pPr>
      <w:ind w:left="851" w:hanging="851"/>
    </w:pPr>
  </w:style>
  <w:style w:type="paragraph" w:customStyle="1" w:styleId="98">
    <w:name w:val="TAR"/>
    <w:basedOn w:val="94"/>
    <w:qFormat/>
    <w:uiPriority w:val="0"/>
    <w:pPr>
      <w:jc w:val="right"/>
    </w:pPr>
  </w:style>
  <w:style w:type="paragraph" w:customStyle="1" w:styleId="99">
    <w:name w:val="TH"/>
    <w:basedOn w:val="1"/>
    <w:link w:val="143"/>
    <w:qFormat/>
    <w:uiPriority w:val="0"/>
    <w:pPr>
      <w:keepNext/>
      <w:keepLines/>
      <w:spacing w:before="60"/>
      <w:jc w:val="center"/>
    </w:pPr>
    <w:rPr>
      <w:rFonts w:ascii="Arial" w:hAnsi="Arial"/>
      <w:b/>
      <w:lang w:val="zh-CN" w:eastAsia="zh-CN"/>
    </w:rPr>
  </w:style>
  <w:style w:type="paragraph" w:customStyle="1" w:styleId="100">
    <w:name w:val="TF"/>
    <w:basedOn w:val="99"/>
    <w:link w:val="147"/>
    <w:qFormat/>
    <w:uiPriority w:val="0"/>
    <w:pPr>
      <w:spacing w:before="240" w:after="120"/>
    </w:pPr>
  </w:style>
  <w:style w:type="paragraph" w:customStyle="1" w:styleId="101">
    <w:name w:val="TT"/>
    <w:basedOn w:val="2"/>
    <w:next w:val="1"/>
    <w:qFormat/>
    <w:uiPriority w:val="0"/>
    <w:pPr>
      <w:outlineLvl w:val="9"/>
    </w:pPr>
  </w:style>
  <w:style w:type="paragraph" w:customStyle="1" w:styleId="102">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ja-JP" w:bidi="ar-SA"/>
    </w:rPr>
  </w:style>
  <w:style w:type="paragraph" w:customStyle="1" w:styleId="103">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ja-JP" w:bidi="ar-SA"/>
    </w:rPr>
  </w:style>
  <w:style w:type="paragraph" w:customStyle="1" w:styleId="104">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ja-JP" w:bidi="ar-SA"/>
    </w:rPr>
  </w:style>
  <w:style w:type="paragraph" w:customStyle="1" w:styleId="105">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ja-JP" w:bidi="ar-SA"/>
    </w:rPr>
  </w:style>
  <w:style w:type="character" w:customStyle="1" w:styleId="106">
    <w:name w:val="ZGSM"/>
    <w:qFormat/>
    <w:uiPriority w:val="0"/>
  </w:style>
  <w:style w:type="paragraph" w:customStyle="1" w:styleId="107">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ja-JP" w:bidi="ar-SA"/>
    </w:rPr>
  </w:style>
  <w:style w:type="paragraph" w:customStyle="1" w:styleId="10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9">
    <w:name w:val="ZTD"/>
    <w:basedOn w:val="103"/>
    <w:qFormat/>
    <w:uiPriority w:val="0"/>
    <w:pPr>
      <w:framePr w:hRule="auto" w:y="852"/>
    </w:pPr>
    <w:rPr>
      <w:i w:val="0"/>
      <w:sz w:val="40"/>
    </w:rPr>
  </w:style>
  <w:style w:type="paragraph" w:customStyle="1" w:styleId="110">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ja-JP" w:bidi="ar-SA"/>
    </w:rPr>
  </w:style>
  <w:style w:type="paragraph" w:customStyle="1" w:styleId="111">
    <w:name w:val="ZV"/>
    <w:basedOn w:val="110"/>
    <w:qFormat/>
    <w:uiPriority w:val="0"/>
    <w:pPr>
      <w:framePr w:y="16161"/>
    </w:pPr>
  </w:style>
  <w:style w:type="paragraph" w:customStyle="1" w:styleId="112">
    <w:name w:val="FP"/>
    <w:basedOn w:val="1"/>
    <w:qFormat/>
    <w:uiPriority w:val="0"/>
    <w:pPr>
      <w:spacing w:after="0"/>
    </w:pPr>
  </w:style>
  <w:style w:type="paragraph" w:customStyle="1" w:styleId="113">
    <w:name w:val="Observation"/>
    <w:basedOn w:val="90"/>
    <w:qFormat/>
    <w:uiPriority w:val="0"/>
    <w:pPr>
      <w:numPr>
        <w:ilvl w:val="0"/>
        <w:numId w:val="11"/>
      </w:numPr>
    </w:pPr>
    <w:rPr>
      <w:lang w:eastAsia="ja-JP"/>
    </w:rPr>
  </w:style>
  <w:style w:type="character" w:customStyle="1" w:styleId="114">
    <w:name w:val="B1 Char1"/>
    <w:link w:val="86"/>
    <w:qFormat/>
    <w:uiPriority w:val="0"/>
    <w:rPr>
      <w:rFonts w:ascii="Times New Roman" w:hAnsi="Times New Roman" w:eastAsia="Times New Roman" w:cs="Times New Roman"/>
      <w:sz w:val="20"/>
      <w:szCs w:val="20"/>
      <w:lang w:eastAsia="zh-CN"/>
    </w:rPr>
  </w:style>
  <w:style w:type="character" w:customStyle="1" w:styleId="115">
    <w:name w:val="B2 Char"/>
    <w:link w:val="87"/>
    <w:qFormat/>
    <w:uiPriority w:val="0"/>
    <w:rPr>
      <w:rFonts w:ascii="Times New Roman" w:hAnsi="Times New Roman" w:eastAsia="Times New Roman" w:cs="Times New Roman"/>
      <w:sz w:val="20"/>
      <w:szCs w:val="20"/>
      <w:lang w:eastAsia="ja-JP"/>
    </w:rPr>
  </w:style>
  <w:style w:type="character" w:customStyle="1" w:styleId="116">
    <w:name w:val="B3 Char2"/>
    <w:link w:val="88"/>
    <w:qFormat/>
    <w:uiPriority w:val="0"/>
    <w:rPr>
      <w:rFonts w:ascii="Times New Roman" w:hAnsi="Times New Roman" w:eastAsia="Times New Roman" w:cs="Times New Roman"/>
      <w:sz w:val="20"/>
      <w:szCs w:val="20"/>
      <w:lang w:eastAsia="ja-JP"/>
    </w:rPr>
  </w:style>
  <w:style w:type="character" w:customStyle="1" w:styleId="117">
    <w:name w:val="B4 Char"/>
    <w:link w:val="89"/>
    <w:qFormat/>
    <w:uiPriority w:val="0"/>
    <w:rPr>
      <w:rFonts w:ascii="Times New Roman" w:hAnsi="Times New Roman" w:eastAsia="Times New Roman" w:cs="Times New Roman"/>
      <w:sz w:val="20"/>
      <w:szCs w:val="20"/>
      <w:lang w:eastAsia="ja-JP"/>
    </w:rPr>
  </w:style>
  <w:style w:type="character" w:customStyle="1" w:styleId="118">
    <w:name w:val="B5 Char"/>
    <w:link w:val="91"/>
    <w:qFormat/>
    <w:uiPriority w:val="0"/>
    <w:rPr>
      <w:rFonts w:ascii="Times New Roman" w:hAnsi="Times New Roman" w:eastAsia="Times New Roman" w:cs="Times New Roman"/>
      <w:sz w:val="20"/>
      <w:szCs w:val="20"/>
      <w:lang w:eastAsia="ja-JP"/>
    </w:rPr>
  </w:style>
  <w:style w:type="paragraph" w:customStyle="1" w:styleId="119">
    <w:name w:val="B6"/>
    <w:basedOn w:val="91"/>
    <w:link w:val="120"/>
    <w:qFormat/>
    <w:uiPriority w:val="0"/>
    <w:pPr>
      <w:ind w:left="1985"/>
    </w:pPr>
  </w:style>
  <w:style w:type="character" w:customStyle="1" w:styleId="120">
    <w:name w:val="B6 Char"/>
    <w:link w:val="119"/>
    <w:qFormat/>
    <w:uiPriority w:val="0"/>
    <w:rPr>
      <w:rFonts w:ascii="Times New Roman" w:hAnsi="Times New Roman" w:eastAsia="Times New Roman" w:cs="Times New Roman"/>
      <w:sz w:val="20"/>
      <w:szCs w:val="20"/>
      <w:lang w:eastAsia="ja-JP"/>
    </w:rPr>
  </w:style>
  <w:style w:type="paragraph" w:customStyle="1" w:styleId="121">
    <w:name w:val="B7"/>
    <w:basedOn w:val="119"/>
    <w:link w:val="122"/>
    <w:qFormat/>
    <w:uiPriority w:val="0"/>
    <w:pPr>
      <w:ind w:left="2269"/>
    </w:pPr>
  </w:style>
  <w:style w:type="character" w:customStyle="1" w:styleId="122">
    <w:name w:val="B7 Char"/>
    <w:basedOn w:val="120"/>
    <w:link w:val="121"/>
    <w:qFormat/>
    <w:uiPriority w:val="0"/>
    <w:rPr>
      <w:rFonts w:ascii="Times New Roman" w:hAnsi="Times New Roman" w:eastAsia="Times New Roman" w:cs="Times New Roman"/>
      <w:sz w:val="20"/>
      <w:szCs w:val="20"/>
      <w:lang w:eastAsia="ja-JP"/>
    </w:rPr>
  </w:style>
  <w:style w:type="paragraph" w:customStyle="1" w:styleId="123">
    <w:name w:val="B8"/>
    <w:basedOn w:val="121"/>
    <w:qFormat/>
    <w:uiPriority w:val="0"/>
    <w:pPr>
      <w:ind w:left="2552"/>
    </w:pPr>
  </w:style>
  <w:style w:type="paragraph" w:customStyle="1" w:styleId="124">
    <w:name w:val="CR Cover Page"/>
    <w:link w:val="125"/>
    <w:qFormat/>
    <w:uiPriority w:val="0"/>
    <w:pPr>
      <w:spacing w:after="120"/>
    </w:pPr>
    <w:rPr>
      <w:rFonts w:ascii="Arial" w:hAnsi="Arial" w:eastAsia="Times New Roman" w:cs="Times New Roman"/>
      <w:lang w:val="en-GB" w:eastAsia="ko-KR" w:bidi="ar-SA"/>
    </w:rPr>
  </w:style>
  <w:style w:type="character" w:customStyle="1" w:styleId="125">
    <w:name w:val="CR Cover Page Zchn"/>
    <w:link w:val="124"/>
    <w:qFormat/>
    <w:uiPriority w:val="0"/>
    <w:rPr>
      <w:rFonts w:ascii="Arial" w:hAnsi="Arial" w:eastAsia="Times New Roman" w:cs="Times New Roman"/>
      <w:sz w:val="20"/>
      <w:szCs w:val="20"/>
      <w:lang w:val="en-GB" w:eastAsia="ko-KR"/>
    </w:rPr>
  </w:style>
  <w:style w:type="paragraph" w:customStyle="1" w:styleId="126">
    <w:name w:val="Doc-text2"/>
    <w:basedOn w:val="1"/>
    <w:link w:val="127"/>
    <w:qFormat/>
    <w:uiPriority w:val="0"/>
    <w:pPr>
      <w:tabs>
        <w:tab w:val="left" w:pos="1622"/>
      </w:tabs>
      <w:spacing w:after="0"/>
      <w:ind w:left="1622" w:hanging="363"/>
    </w:pPr>
    <w:rPr>
      <w:rFonts w:ascii="Arial" w:hAnsi="Arial" w:eastAsia="MS Mincho"/>
      <w:szCs w:val="24"/>
      <w:lang w:val="zh-CN" w:eastAsia="zh-CN"/>
    </w:rPr>
  </w:style>
  <w:style w:type="character" w:customStyle="1" w:styleId="127">
    <w:name w:val="Doc-text2 Char"/>
    <w:link w:val="126"/>
    <w:qFormat/>
    <w:locked/>
    <w:uiPriority w:val="0"/>
    <w:rPr>
      <w:rFonts w:ascii="Arial" w:hAnsi="Arial" w:eastAsia="MS Mincho" w:cs="Times New Roman"/>
      <w:sz w:val="20"/>
      <w:szCs w:val="24"/>
      <w:lang w:val="zh-CN" w:eastAsia="zh-CN"/>
    </w:rPr>
  </w:style>
  <w:style w:type="character" w:customStyle="1" w:styleId="128">
    <w:name w:val="NO Char"/>
    <w:link w:val="79"/>
    <w:qFormat/>
    <w:uiPriority w:val="0"/>
    <w:rPr>
      <w:rFonts w:ascii="Times New Roman" w:hAnsi="Times New Roman" w:eastAsia="Times New Roman" w:cs="Times New Roman"/>
      <w:sz w:val="20"/>
      <w:szCs w:val="20"/>
      <w:lang w:eastAsia="ja-JP"/>
    </w:rPr>
  </w:style>
  <w:style w:type="character" w:customStyle="1" w:styleId="129">
    <w:name w:val="Editor's Note Char"/>
    <w:link w:val="78"/>
    <w:qFormat/>
    <w:uiPriority w:val="0"/>
    <w:rPr>
      <w:rFonts w:ascii="Times New Roman" w:hAnsi="Times New Roman" w:eastAsia="Times New Roman" w:cs="Times New Roman"/>
      <w:color w:val="FF0000"/>
      <w:sz w:val="20"/>
      <w:szCs w:val="20"/>
      <w:lang w:val="zh-CN" w:eastAsia="zh-CN"/>
    </w:rPr>
  </w:style>
  <w:style w:type="paragraph" w:customStyle="1" w:styleId="130">
    <w:name w:val="EmailDiscussion"/>
    <w:basedOn w:val="1"/>
    <w:next w:val="1"/>
    <w:qFormat/>
    <w:uiPriority w:val="0"/>
    <w:pPr>
      <w:numPr>
        <w:ilvl w:val="0"/>
        <w:numId w:val="12"/>
      </w:numPr>
      <w:spacing w:before="40" w:after="0"/>
    </w:pPr>
    <w:rPr>
      <w:rFonts w:ascii="Arial" w:hAnsi="Arial" w:eastAsia="MS Mincho"/>
      <w:b/>
      <w:szCs w:val="24"/>
      <w:lang w:eastAsia="en-GB"/>
    </w:rPr>
  </w:style>
  <w:style w:type="paragraph" w:customStyle="1" w:styleId="131">
    <w:name w:val="Figure_Title"/>
    <w:basedOn w:val="1"/>
    <w:next w:val="1"/>
    <w:qFormat/>
    <w:uiPriority w:val="0"/>
    <w:pPr>
      <w:keepLines/>
      <w:tabs>
        <w:tab w:val="left" w:pos="794"/>
        <w:tab w:val="left" w:pos="1191"/>
        <w:tab w:val="left" w:pos="1588"/>
        <w:tab w:val="left" w:pos="1985"/>
      </w:tabs>
      <w:spacing w:before="120" w:after="480"/>
      <w:jc w:val="center"/>
    </w:pPr>
    <w:rPr>
      <w:b/>
      <w:sz w:val="24"/>
      <w:lang w:eastAsia="en-GB"/>
    </w:rPr>
  </w:style>
  <w:style w:type="paragraph" w:customStyle="1" w:styleId="132">
    <w:name w:val="Guidance"/>
    <w:basedOn w:val="1"/>
    <w:qFormat/>
    <w:uiPriority w:val="0"/>
    <w:rPr>
      <w:i/>
      <w:color w:val="0000FF"/>
    </w:rPr>
  </w:style>
  <w:style w:type="paragraph" w:customStyle="1" w:styleId="133">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ja-JP" w:bidi="ar-SA"/>
    </w:rPr>
  </w:style>
  <w:style w:type="paragraph" w:customStyle="1" w:styleId="134">
    <w:name w:val="List Paragraph1"/>
    <w:basedOn w:val="1"/>
    <w:link w:val="135"/>
    <w:qFormat/>
    <w:uiPriority w:val="34"/>
    <w:pPr>
      <w:spacing w:after="0"/>
      <w:ind w:left="720"/>
    </w:pPr>
    <w:rPr>
      <w:rFonts w:ascii="Calibri" w:hAnsi="Calibri" w:eastAsia="Calibri"/>
      <w:sz w:val="22"/>
      <w:szCs w:val="22"/>
      <w:lang w:val="zh-CN" w:eastAsia="en-US"/>
    </w:rPr>
  </w:style>
  <w:style w:type="character" w:customStyle="1" w:styleId="135">
    <w:name w:val="List Paragraph Char"/>
    <w:link w:val="134"/>
    <w:qFormat/>
    <w:locked/>
    <w:uiPriority w:val="34"/>
    <w:rPr>
      <w:rFonts w:ascii="Calibri" w:hAnsi="Calibri" w:eastAsia="Calibri" w:cs="Times New Roman"/>
      <w:lang w:val="zh-CN"/>
    </w:rPr>
  </w:style>
  <w:style w:type="paragraph" w:customStyle="1" w:styleId="136">
    <w:name w:val="NF"/>
    <w:basedOn w:val="79"/>
    <w:qFormat/>
    <w:uiPriority w:val="0"/>
    <w:pPr>
      <w:keepNext/>
      <w:spacing w:after="0"/>
    </w:pPr>
    <w:rPr>
      <w:rFonts w:ascii="Arial" w:hAnsi="Arial"/>
      <w:sz w:val="18"/>
    </w:rPr>
  </w:style>
  <w:style w:type="paragraph" w:customStyle="1" w:styleId="137">
    <w:name w:val="NW"/>
    <w:basedOn w:val="79"/>
    <w:qFormat/>
    <w:uiPriority w:val="0"/>
    <w:pPr>
      <w:spacing w:after="0"/>
    </w:pPr>
  </w:style>
  <w:style w:type="paragraph" w:customStyle="1" w:styleId="138">
    <w:name w:val="PL"/>
    <w:link w:val="139"/>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eastAsia="Batang" w:cs="Times New Roman"/>
      <w:sz w:val="16"/>
      <w:lang w:val="en-GB" w:eastAsia="sv-SE" w:bidi="ar-SA"/>
    </w:rPr>
  </w:style>
  <w:style w:type="character" w:customStyle="1" w:styleId="139">
    <w:name w:val="PL Char"/>
    <w:link w:val="138"/>
    <w:qFormat/>
    <w:uiPriority w:val="0"/>
    <w:rPr>
      <w:rFonts w:ascii="Courier New" w:hAnsi="Courier New" w:eastAsia="Batang" w:cs="Times New Roman"/>
      <w:sz w:val="16"/>
      <w:szCs w:val="20"/>
      <w:shd w:val="clear" w:color="auto" w:fill="E6E6E6"/>
      <w:lang w:val="en-GB" w:eastAsia="sv-SE"/>
    </w:rPr>
  </w:style>
  <w:style w:type="character" w:customStyle="1" w:styleId="140">
    <w:name w:val="Plain Text Char"/>
    <w:basedOn w:val="52"/>
    <w:link w:val="36"/>
    <w:qFormat/>
    <w:uiPriority w:val="0"/>
    <w:rPr>
      <w:rFonts w:ascii="Courier New" w:hAnsi="Courier New" w:eastAsia="Times New Roman" w:cs="Times New Roman"/>
      <w:sz w:val="20"/>
      <w:szCs w:val="20"/>
      <w:lang w:val="nb-NO" w:eastAsia="ja-JP"/>
    </w:rPr>
  </w:style>
  <w:style w:type="character" w:customStyle="1" w:styleId="141">
    <w:name w:val="TAL Car"/>
    <w:link w:val="94"/>
    <w:qFormat/>
    <w:uiPriority w:val="0"/>
    <w:rPr>
      <w:rFonts w:ascii="Arial" w:hAnsi="Arial" w:eastAsia="Times New Roman" w:cs="Times New Roman"/>
      <w:sz w:val="18"/>
      <w:szCs w:val="20"/>
      <w:lang w:val="zh-CN" w:eastAsia="zh-CN"/>
    </w:rPr>
  </w:style>
  <w:style w:type="character" w:customStyle="1" w:styleId="142">
    <w:name w:val="TAH Car"/>
    <w:link w:val="96"/>
    <w:qFormat/>
    <w:locked/>
    <w:uiPriority w:val="0"/>
    <w:rPr>
      <w:rFonts w:ascii="Arial" w:hAnsi="Arial" w:eastAsia="Times New Roman" w:cs="Times New Roman"/>
      <w:b/>
      <w:sz w:val="18"/>
      <w:szCs w:val="20"/>
      <w:lang w:val="zh-CN" w:eastAsia="zh-CN"/>
    </w:rPr>
  </w:style>
  <w:style w:type="character" w:customStyle="1" w:styleId="143">
    <w:name w:val="TH Char"/>
    <w:link w:val="99"/>
    <w:qFormat/>
    <w:uiPriority w:val="0"/>
    <w:rPr>
      <w:rFonts w:ascii="Arial" w:hAnsi="Arial" w:eastAsia="Times New Roman" w:cs="Times New Roman"/>
      <w:b/>
      <w:sz w:val="20"/>
      <w:szCs w:val="20"/>
      <w:lang w:val="zh-CN" w:eastAsia="zh-CN"/>
    </w:rPr>
  </w:style>
  <w:style w:type="paragraph" w:customStyle="1" w:styleId="144">
    <w:name w:val="TAJ"/>
    <w:basedOn w:val="99"/>
    <w:qFormat/>
    <w:uiPriority w:val="0"/>
  </w:style>
  <w:style w:type="paragraph" w:customStyle="1" w:styleId="145">
    <w:name w:val="TAL Char Char"/>
    <w:basedOn w:val="1"/>
    <w:link w:val="146"/>
    <w:qFormat/>
    <w:uiPriority w:val="0"/>
    <w:pPr>
      <w:keepNext/>
      <w:keepLines/>
      <w:spacing w:after="0"/>
    </w:pPr>
    <w:rPr>
      <w:rFonts w:ascii="Arial" w:hAnsi="Arial" w:eastAsia="Malgun Gothic"/>
      <w:sz w:val="18"/>
      <w:lang w:val="zh-CN" w:eastAsia="zh-CN"/>
    </w:rPr>
  </w:style>
  <w:style w:type="character" w:customStyle="1" w:styleId="146">
    <w:name w:val="TAL Char Char Char"/>
    <w:link w:val="145"/>
    <w:qFormat/>
    <w:uiPriority w:val="0"/>
    <w:rPr>
      <w:rFonts w:ascii="Arial" w:hAnsi="Arial" w:eastAsia="Malgun Gothic" w:cs="Times New Roman"/>
      <w:sz w:val="18"/>
      <w:szCs w:val="20"/>
      <w:lang w:val="zh-CN" w:eastAsia="zh-CN"/>
    </w:rPr>
  </w:style>
  <w:style w:type="character" w:customStyle="1" w:styleId="147">
    <w:name w:val="TF Char"/>
    <w:link w:val="100"/>
    <w:qFormat/>
    <w:uiPriority w:val="0"/>
    <w:rPr>
      <w:rFonts w:ascii="Arial" w:hAnsi="Arial" w:eastAsia="Times New Roman" w:cs="Times New Roman"/>
      <w:b/>
      <w:sz w:val="20"/>
      <w:szCs w:val="20"/>
      <w:lang w:val="zh-CN" w:eastAsia="zh-CN"/>
    </w:rPr>
  </w:style>
  <w:style w:type="character" w:customStyle="1" w:styleId="148">
    <w:name w:val="cs1-format"/>
    <w:basedOn w:val="52"/>
    <w:qFormat/>
    <w:uiPriority w:val="0"/>
  </w:style>
  <w:style w:type="character" w:customStyle="1" w:styleId="149">
    <w:name w:val="reference-accessdate"/>
    <w:basedOn w:val="52"/>
    <w:qFormat/>
    <w:uiPriority w:val="0"/>
  </w:style>
  <w:style w:type="character" w:customStyle="1" w:styleId="150">
    <w:name w:val="nowrap"/>
    <w:basedOn w:val="52"/>
    <w:qFormat/>
    <w:uiPriority w:val="0"/>
  </w:style>
  <w:style w:type="character" w:customStyle="1" w:styleId="151">
    <w:name w:val="Placeholder Text1"/>
    <w:basedOn w:val="52"/>
    <w:semiHidden/>
    <w:qFormat/>
    <w:uiPriority w:val="99"/>
    <w:rPr>
      <w:color w:val="808080"/>
    </w:rPr>
  </w:style>
  <w:style w:type="character" w:customStyle="1" w:styleId="152">
    <w:name w:val="TAC Char"/>
    <w:link w:val="95"/>
    <w:qFormat/>
    <w:locked/>
    <w:uiPriority w:val="0"/>
    <w:rPr>
      <w:rFonts w:ascii="Arial" w:hAnsi="Arial" w:eastAsia="Times New Roman" w:cs="Times New Roman"/>
      <w:sz w:val="18"/>
      <w:szCs w:val="20"/>
      <w:lang w:val="zh-CN" w:eastAsia="zh-CN"/>
    </w:rPr>
  </w:style>
  <w:style w:type="paragraph" w:customStyle="1" w:styleId="153">
    <w:name w:val="Revision1"/>
    <w:hidden/>
    <w:semiHidden/>
    <w:qFormat/>
    <w:uiPriority w:val="99"/>
    <w:rPr>
      <w:rFonts w:ascii="Times New Roman" w:hAnsi="Times New Roman" w:eastAsia="Times New Roman" w:cs="Times New Roman"/>
      <w:lang w:val="en-GB" w:eastAsia="ja-JP" w:bidi="ar-SA"/>
    </w:rPr>
  </w:style>
  <w:style w:type="paragraph" w:customStyle="1" w:styleId="154">
    <w:name w:val="Default"/>
    <w:qFormat/>
    <w:uiPriority w:val="0"/>
    <w:pPr>
      <w:autoSpaceDE w:val="0"/>
      <w:autoSpaceDN w:val="0"/>
      <w:adjustRightInd w:val="0"/>
    </w:pPr>
    <w:rPr>
      <w:rFonts w:ascii="Arial" w:hAnsi="Arial" w:cs="Arial" w:eastAsiaTheme="minorHAnsi"/>
      <w:color w:val="000000"/>
      <w:sz w:val="24"/>
      <w:szCs w:val="24"/>
      <w:lang w:val="en-US" w:eastAsia="en-US" w:bidi="ar-SA"/>
    </w:rPr>
  </w:style>
  <w:style w:type="character" w:customStyle="1" w:styleId="155">
    <w:name w:val="TAN Char"/>
    <w:link w:val="97"/>
    <w:qFormat/>
    <w:locked/>
    <w:uiPriority w:val="0"/>
    <w:rPr>
      <w:rFonts w:ascii="Arial" w:hAnsi="Arial" w:eastAsia="Times New Roman" w:cs="Times New Roman"/>
      <w:sz w:val="18"/>
      <w:szCs w:val="20"/>
      <w:lang w:val="zh-CN" w:eastAsia="zh-CN"/>
    </w:rPr>
  </w:style>
  <w:style w:type="paragraph" w:customStyle="1" w:styleId="156">
    <w:name w:val="FL"/>
    <w:basedOn w:val="1"/>
    <w:qFormat/>
    <w:uiPriority w:val="0"/>
    <w:pPr>
      <w:keepNext/>
      <w:keepLines/>
      <w:spacing w:before="60"/>
      <w:jc w:val="center"/>
    </w:pPr>
    <w:rPr>
      <w:rFonts w:ascii="Arial" w:hAnsi="Arial"/>
      <w:b/>
      <w:lang w:val="en-GB" w:eastAsia="en-US"/>
    </w:rPr>
  </w:style>
  <w:style w:type="paragraph" w:customStyle="1" w:styleId="157">
    <w:name w:val="TOC Heading1"/>
    <w:basedOn w:val="2"/>
    <w:next w:val="1"/>
    <w:unhideWhenUsed/>
    <w:qFormat/>
    <w:uiPriority w:val="39"/>
    <w:pPr>
      <w:pBdr>
        <w:top w:val="none" w:color="auto" w:sz="0" w:space="0"/>
      </w:pBdr>
      <w:overflowPunct/>
      <w:autoSpaceDE/>
      <w:autoSpaceDN/>
      <w:adjustRightInd/>
      <w:spacing w:after="0" w:line="259" w:lineRule="auto"/>
      <w:ind w:left="0" w:firstLine="0"/>
      <w:textAlignment w:val="auto"/>
      <w:outlineLvl w:val="9"/>
    </w:pPr>
    <w:rPr>
      <w:rFonts w:asciiTheme="majorHAnsi" w:hAnsiTheme="majorHAnsi" w:eastAsiaTheme="majorEastAsia" w:cstheme="majorBidi"/>
      <w:color w:val="2F5597" w:themeColor="accent1" w:themeShade="BF"/>
      <w:sz w:val="32"/>
      <w:szCs w:val="32"/>
      <w:lang w:val="en-US" w:eastAsia="en-US"/>
    </w:rPr>
  </w:style>
  <w:style w:type="character" w:customStyle="1" w:styleId="158">
    <w:name w:val="Unresolved Mention"/>
    <w:basedOn w:val="52"/>
    <w:unhideWhenUsed/>
    <w:qFormat/>
    <w:uiPriority w:val="99"/>
    <w:rPr>
      <w:color w:val="605E5C"/>
      <w:shd w:val="clear" w:color="auto" w:fill="E1DFDD"/>
    </w:rPr>
  </w:style>
  <w:style w:type="character" w:customStyle="1" w:styleId="159">
    <w:name w:val="Mention"/>
    <w:basedOn w:val="52"/>
    <w:unhideWhenUsed/>
    <w:qFormat/>
    <w:uiPriority w:val="99"/>
    <w:rPr>
      <w:color w:val="2B579A"/>
      <w:shd w:val="clear" w:color="auto" w:fill="E1DFDD"/>
    </w:rPr>
  </w:style>
  <w:style w:type="paragraph" w:customStyle="1" w:styleId="160">
    <w:name w:val="IvD bodytext"/>
    <w:basedOn w:val="32"/>
    <w:link w:val="161"/>
    <w:qFormat/>
    <w:uiPriority w:val="0"/>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宋体"/>
      <w:spacing w:val="2"/>
      <w:lang w:eastAsia="en-US"/>
    </w:rPr>
  </w:style>
  <w:style w:type="character" w:customStyle="1" w:styleId="161">
    <w:name w:val="IvD bodytext Char"/>
    <w:basedOn w:val="52"/>
    <w:link w:val="160"/>
    <w:qFormat/>
    <w:uiPriority w:val="0"/>
    <w:rPr>
      <w:rFonts w:ascii="Arial" w:hAnsi="Arial" w:eastAsia="宋体" w:cs="Times New Roman"/>
      <w:spacing w:val="2"/>
      <w:sz w:val="20"/>
      <w:szCs w:val="20"/>
    </w:rPr>
  </w:style>
  <w:style w:type="paragraph" w:customStyle="1" w:styleId="162">
    <w:name w:val="IvD Instructiontext"/>
    <w:basedOn w:val="32"/>
    <w:link w:val="163"/>
    <w:qFormat/>
    <w:uiPriority w:val="99"/>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宋体"/>
      <w:i/>
      <w:color w:val="808080" w:themeColor="text1" w:themeTint="80"/>
      <w:spacing w:val="2"/>
      <w:sz w:val="18"/>
      <w:szCs w:val="18"/>
      <w:lang w:eastAsia="en-US"/>
      <w14:textFill>
        <w14:solidFill>
          <w14:schemeClr w14:val="tx1">
            <w14:lumMod w14:val="50000"/>
            <w14:lumOff w14:val="50000"/>
          </w14:schemeClr>
        </w14:solidFill>
      </w14:textFill>
    </w:rPr>
  </w:style>
  <w:style w:type="character" w:customStyle="1" w:styleId="163">
    <w:name w:val="IvD Instructiontext Char"/>
    <w:link w:val="162"/>
    <w:qFormat/>
    <w:uiPriority w:val="99"/>
    <w:rPr>
      <w:rFonts w:ascii="Arial" w:hAnsi="Arial" w:eastAsia="宋体" w:cs="Times New Roman"/>
      <w:i/>
      <w:color w:val="808080" w:themeColor="text1" w:themeTint="80"/>
      <w:spacing w:val="2"/>
      <w:sz w:val="18"/>
      <w:szCs w:val="18"/>
      <w14:textFill>
        <w14:solidFill>
          <w14:schemeClr w14:val="tx1">
            <w14:lumMod w14:val="50000"/>
            <w14:lumOff w14:val="50000"/>
          </w14:schemeClr>
        </w14:solidFill>
      </w14:textFill>
    </w:rPr>
  </w:style>
  <w:style w:type="paragraph" w:customStyle="1" w:styleId="164">
    <w:name w:val="Style Caption + Centered"/>
    <w:basedOn w:val="30"/>
    <w:qFormat/>
    <w:uiPriority w:val="0"/>
    <w:pPr>
      <w:keepNext/>
      <w:jc w:val="center"/>
    </w:pPr>
    <w:rPr>
      <w:rFonts w:ascii="Arial" w:hAnsi="Arial"/>
      <w:bCs/>
    </w:rPr>
  </w:style>
  <w:style w:type="table" w:customStyle="1" w:styleId="165">
    <w:name w:val="Table Grid Light1"/>
    <w:basedOn w:val="61"/>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fixed"/>
    </w:tblPr>
  </w:style>
  <w:style w:type="table" w:customStyle="1" w:styleId="166">
    <w:name w:val="Table Grid7"/>
    <w:basedOn w:val="61"/>
    <w:qFormat/>
    <w:uiPriority w:val="39"/>
    <w:rPr>
      <w:rFonts w:eastAsia="Batang"/>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styleId="167">
    <w:name w:val="List Paragraph"/>
    <w:basedOn w:val="1"/>
    <w:qFormat/>
    <w:uiPriority w:val="99"/>
    <w:pPr>
      <w:ind w:firstLine="420" w:firstLineChars="200"/>
    </w:pPr>
  </w:style>
  <w:style w:type="paragraph" w:customStyle="1" w:styleId="168">
    <w:name w:val="列出段落1"/>
    <w:basedOn w:val="1"/>
    <w:qFormat/>
    <w:uiPriority w:val="34"/>
    <w:pPr>
      <w:spacing w:after="0"/>
      <w:ind w:left="720"/>
    </w:pPr>
    <w:rPr>
      <w:rFonts w:ascii="Calibri" w:hAnsi="Calibri" w:eastAsia="Calibri"/>
      <w:sz w:val="22"/>
      <w:lang w:val="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6.wmf"/><Relationship Id="rId8" Type="http://schemas.openxmlformats.org/officeDocument/2006/relationships/image" Target="media/image5.wmf"/><Relationship Id="rId7" Type="http://schemas.openxmlformats.org/officeDocument/2006/relationships/image" Target="media/image4.wmf"/><Relationship Id="rId6" Type="http://schemas.openxmlformats.org/officeDocument/2006/relationships/image" Target="media/image3.wmf"/><Relationship Id="rId5" Type="http://schemas.openxmlformats.org/officeDocument/2006/relationships/image" Target="media/image2.wmf"/><Relationship Id="rId47" Type="http://schemas.openxmlformats.org/officeDocument/2006/relationships/fontTable" Target="fontTable.xml"/><Relationship Id="rId46" Type="http://schemas.openxmlformats.org/officeDocument/2006/relationships/customXml" Target="../customXml/item5.xml"/><Relationship Id="rId45" Type="http://schemas.openxmlformats.org/officeDocument/2006/relationships/customXml" Target="../customXml/item4.xml"/><Relationship Id="rId44" Type="http://schemas.openxmlformats.org/officeDocument/2006/relationships/customXml" Target="../customXml/item3.xml"/><Relationship Id="rId43" Type="http://schemas.openxmlformats.org/officeDocument/2006/relationships/customXml" Target="../customXml/item2.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37.png"/><Relationship Id="rId4" Type="http://schemas.openxmlformats.org/officeDocument/2006/relationships/image" Target="media/image1.emf"/><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emf"/><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SharedWithUsers xmlns="9b239327-9e80-40e4-b1b7-4394fed77a33">
      <UserInfo>
        <DisplayName/>
        <AccountId xsi:nil="true"/>
        <AccountType/>
      </UserInfo>
    </SharedWithUser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3AB6F6-4230-4F22-9E7F-F7784CA5C6B0}">
  <ds:schemaRefs/>
</ds:datastoreItem>
</file>

<file path=customXml/itemProps3.xml><?xml version="1.0" encoding="utf-8"?>
<ds:datastoreItem xmlns:ds="http://schemas.openxmlformats.org/officeDocument/2006/customXml" ds:itemID="{C0064866-15C8-4E82-800E-FA249B931531}">
  <ds:schemaRefs/>
</ds:datastoreItem>
</file>

<file path=customXml/itemProps4.xml><?xml version="1.0" encoding="utf-8"?>
<ds:datastoreItem xmlns:ds="http://schemas.openxmlformats.org/officeDocument/2006/customXml" ds:itemID="{620C770C-47B9-40F0-AE3C-65C874F35B5F}">
  <ds:schemaRefs/>
</ds:datastoreItem>
</file>

<file path=customXml/itemProps5.xml><?xml version="1.0" encoding="utf-8"?>
<ds:datastoreItem xmlns:ds="http://schemas.openxmlformats.org/officeDocument/2006/customXml" ds:itemID="{13002A6A-020E-4648-8DC9-C5B8805CC385}">
  <ds:schemaRefs/>
</ds:datastoreItem>
</file>

<file path=docProps/app.xml><?xml version="1.0" encoding="utf-8"?>
<Properties xmlns="http://schemas.openxmlformats.org/officeDocument/2006/extended-properties" xmlns:vt="http://schemas.openxmlformats.org/officeDocument/2006/docPropsVTypes">
  <Template>Normal</Template>
  <Company>ZTE</Company>
  <Pages>13</Pages>
  <Words>3229</Words>
  <Characters>18409</Characters>
  <Lines>153</Lines>
  <Paragraphs>43</Paragraphs>
  <TotalTime>12</TotalTime>
  <ScaleCrop>false</ScaleCrop>
  <LinksUpToDate>false</LinksUpToDate>
  <CharactersWithSpaces>21595</CharactersWithSpaces>
  <Application>WPS Office_10.8.2.6990_F1E327BC-269C-435d-A152-05C5408002CA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2020-10-14T00:01:00Z</dcterms:created>
  <dc:creator>eafsmeh</dc:creator>
  <cp:lastModifiedBy>Ziyang ZTE</cp:lastModifiedBy>
  <dcterms:modified xsi:type="dcterms:W3CDTF">2021-08-06T14:03:18Z</dcterms:modified>
  <cp:revision>128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TaxKeyword">
    <vt:lpwstr/>
  </property>
  <property fmtid="{D5CDD505-2E9C-101B-9397-08002B2CF9AE}" pid="4" name="EriCOLLCategory">
    <vt:lpwstr/>
  </property>
  <property fmtid="{D5CDD505-2E9C-101B-9397-08002B2CF9AE}" pid="5" name="EriCOLLProjectsTaxHTField0">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Customer">
    <vt:lpwstr/>
  </property>
  <property fmtid="{D5CDD505-2E9C-101B-9397-08002B2CF9AE}" pid="11" name="EriCOLLOrganizationUnitTaxHTField0">
    <vt:lpwstr/>
  </property>
  <property fmtid="{D5CDD505-2E9C-101B-9397-08002B2CF9AE}" pid="12" name="EriCOLLProducts">
    <vt:lpwstr/>
  </property>
  <property fmtid="{D5CDD505-2E9C-101B-9397-08002B2CF9AE}" pid="13" name="EriCOLLCategoryTaxHTField0">
    <vt:lpwstr/>
  </property>
  <property fmtid="{D5CDD505-2E9C-101B-9397-08002B2CF9AE}" pid="14" name="EriCOLLCompetenceTaxHTField0">
    <vt:lpwstr/>
  </property>
  <property fmtid="{D5CDD505-2E9C-101B-9397-08002B2CF9AE}" pid="15" name="EriCOLLCountryTaxHTField0">
    <vt:lpwstr/>
  </property>
  <property fmtid="{D5CDD505-2E9C-101B-9397-08002B2CF9AE}" pid="16" name="EriCOLLCustomerTaxHTField0">
    <vt:lpwstr/>
  </property>
  <property fmtid="{D5CDD505-2E9C-101B-9397-08002B2CF9AE}" pid="17" name="EriCOLLProductsTaxHTField0">
    <vt:lpwstr/>
  </property>
  <property fmtid="{D5CDD505-2E9C-101B-9397-08002B2CF9AE}" pid="18" name="EriCOLLProcessTaxHTField0">
    <vt:lpwstr/>
  </property>
  <property fmtid="{D5CDD505-2E9C-101B-9397-08002B2CF9AE}" pid="19" name="EriCOLLProjects">
    <vt:lpwstr/>
  </property>
  <property fmtid="{D5CDD505-2E9C-101B-9397-08002B2CF9AE}" pid="20" name="_dlc_DocIdItemGuid">
    <vt:lpwstr>4c2be7b6-30c0-4b59-a968-4d4ead8b9f52</vt:lpwstr>
  </property>
  <property fmtid="{D5CDD505-2E9C-101B-9397-08002B2CF9AE}" pid="21" name="Order">
    <vt:r8>42364700</vt:r8>
  </property>
  <property fmtid="{D5CDD505-2E9C-101B-9397-08002B2CF9AE}" pid="22" name="xd_Signature">
    <vt:bool>false</vt:bool>
  </property>
  <property fmtid="{D5CDD505-2E9C-101B-9397-08002B2CF9AE}" pid="23" name="xd_ProgID">
    <vt:lpwstr/>
  </property>
  <property fmtid="{D5CDD505-2E9C-101B-9397-08002B2CF9AE}" pid="24" name="_dlc_DocId">
    <vt:lpwstr>5NUHHDQN7SK2-1476151046-423647</vt:lpwstr>
  </property>
  <property fmtid="{D5CDD505-2E9C-101B-9397-08002B2CF9AE}" pid="25" name="ComplianceAssetId">
    <vt:lpwstr/>
  </property>
  <property fmtid="{D5CDD505-2E9C-101B-9397-08002B2CF9AE}" pid="26" name="TemplateUrl">
    <vt:lpwstr/>
  </property>
  <property fmtid="{D5CDD505-2E9C-101B-9397-08002B2CF9AE}" pid="27" name="_dlc_DocIdUrl">
    <vt:lpwstr>https://ericsson.sharepoint.com/sites/star/_layouts/15/DocIdRedir.aspx?ID=5NUHHDQN7SK2-1476151046-423647, 5NUHHDQN7SK2-1476151046-423647</vt:lpwstr>
  </property>
  <property fmtid="{D5CDD505-2E9C-101B-9397-08002B2CF9AE}" pid="28" name="_SourceUrl">
    <vt:lpwstr/>
  </property>
  <property fmtid="{D5CDD505-2E9C-101B-9397-08002B2CF9AE}" pid="29" name="_SharedFileIndex">
    <vt:lpwstr/>
  </property>
  <property fmtid="{D5CDD505-2E9C-101B-9397-08002B2CF9AE}" pid="30" name="KSOProductBuildVer">
    <vt:lpwstr>2052-10.8.2.6990</vt:lpwstr>
  </property>
</Properties>
</file>